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3BC3" w14:textId="786D00E7" w:rsidR="00A46F61" w:rsidRPr="00E26B8A" w:rsidRDefault="00A46F61" w:rsidP="00663613">
      <w:r>
        <w:t>PUBLIC MATTER—</w:t>
      </w:r>
      <w:sdt>
        <w:sdtPr>
          <w:alias w:val="Designation"/>
          <w:tag w:val="Designation"/>
          <w:id w:val="122977762"/>
          <w:placeholder>
            <w:docPart w:val="6165A4A77C1A4A7FADAF0592D790FD5B"/>
          </w:placeholder>
          <w15:color w:val="FF0000"/>
          <w:dropDownList>
            <w:listItem w:displayText="DESIGNATED FOR PUBLICATION" w:value="DESIGNATED FOR PUBLICATION"/>
            <w:listItem w:displayText="NOT DESIGNATED FOR PUBLICATION" w:value="NOT DESIGNATED FOR PUBLICATION"/>
          </w:dropDownList>
        </w:sdtPr>
        <w:sdtEndPr/>
        <w:sdtContent>
          <w:r w:rsidR="00033C92">
            <w:t>DESIGNATED FOR PUBLICATION</w:t>
          </w:r>
        </w:sdtContent>
      </w:sdt>
    </w:p>
    <w:p w14:paraId="34FC9204" w14:textId="78055485" w:rsidR="00832223" w:rsidRDefault="00232285" w:rsidP="00232285">
      <w:pPr>
        <w:tabs>
          <w:tab w:val="left" w:pos="720"/>
        </w:tabs>
        <w:spacing w:line="240" w:lineRule="auto"/>
        <w:jc w:val="right"/>
      </w:pPr>
      <w:r>
        <w:t>Filed August 14, 2024</w:t>
      </w:r>
    </w:p>
    <w:p w14:paraId="587A65C3" w14:textId="77777777" w:rsidR="00832223" w:rsidRPr="00C11CC8" w:rsidRDefault="00832223" w:rsidP="00C9615B">
      <w:pPr>
        <w:spacing w:line="240" w:lineRule="auto"/>
      </w:pPr>
    </w:p>
    <w:p w14:paraId="6A9EE086" w14:textId="77777777" w:rsidR="00832223" w:rsidRDefault="00832223" w:rsidP="00C9615B">
      <w:pPr>
        <w:spacing w:line="240" w:lineRule="auto"/>
      </w:pPr>
    </w:p>
    <w:p w14:paraId="6C186A17" w14:textId="77777777" w:rsidR="00C9615B" w:rsidRPr="00C11CC8" w:rsidRDefault="00C9615B" w:rsidP="00C9615B">
      <w:pPr>
        <w:spacing w:line="240" w:lineRule="auto"/>
      </w:pPr>
    </w:p>
    <w:p w14:paraId="7FAAE665" w14:textId="77777777" w:rsidR="00832223" w:rsidRPr="00AB315E" w:rsidRDefault="00832223" w:rsidP="00AB315E">
      <w:pPr>
        <w:jc w:val="center"/>
        <w:rPr>
          <w:b/>
          <w:bCs/>
        </w:rPr>
      </w:pPr>
      <w:r w:rsidRPr="00AB315E">
        <w:rPr>
          <w:b/>
          <w:bCs/>
        </w:rPr>
        <w:t>STATE BAR COURT OF CALIFORNIA</w:t>
      </w:r>
    </w:p>
    <w:p w14:paraId="5A559C36" w14:textId="77777777" w:rsidR="00832223" w:rsidRPr="00AB315E" w:rsidRDefault="00832223" w:rsidP="00AB315E">
      <w:pPr>
        <w:jc w:val="center"/>
        <w:rPr>
          <w:b/>
          <w:bCs/>
        </w:rPr>
      </w:pPr>
      <w:r w:rsidRPr="00AB315E">
        <w:rPr>
          <w:b/>
          <w:bCs/>
        </w:rPr>
        <w:t>REVIEW DEPARTMENT</w:t>
      </w:r>
    </w:p>
    <w:p w14:paraId="2156B6A2" w14:textId="77777777" w:rsidR="00832223" w:rsidRPr="00C11CC8" w:rsidRDefault="00832223" w:rsidP="00832223">
      <w:pPr>
        <w:jc w:val="center"/>
        <w:rPr>
          <w:b/>
        </w:rPr>
      </w:pPr>
    </w:p>
    <w:p w14:paraId="16A937BA" w14:textId="77777777" w:rsidR="00832223" w:rsidRPr="00C11CC8" w:rsidRDefault="00832223" w:rsidP="00C9615B">
      <w:pPr>
        <w:spacing w:line="240" w:lineRule="auto"/>
        <w:rPr>
          <w:b/>
        </w:rPr>
      </w:pPr>
    </w:p>
    <w:tbl>
      <w:tblPr>
        <w:tblStyle w:val="TableGrid"/>
        <w:tblW w:w="0" w:type="auto"/>
        <w:tblLook w:val="04A0" w:firstRow="1" w:lastRow="0" w:firstColumn="1" w:lastColumn="0" w:noHBand="0" w:noVBand="1"/>
      </w:tblPr>
      <w:tblGrid>
        <w:gridCol w:w="4716"/>
        <w:gridCol w:w="490"/>
        <w:gridCol w:w="4154"/>
      </w:tblGrid>
      <w:tr w:rsidR="00832223" w:rsidRPr="00C11CC8" w14:paraId="22412B6E" w14:textId="77777777" w:rsidTr="00357051">
        <w:tc>
          <w:tcPr>
            <w:tcW w:w="4770" w:type="dxa"/>
            <w:tcBorders>
              <w:top w:val="nil"/>
              <w:left w:val="nil"/>
              <w:right w:val="nil"/>
            </w:tcBorders>
            <w:tcMar>
              <w:left w:w="0" w:type="dxa"/>
              <w:right w:w="0" w:type="dxa"/>
            </w:tcMar>
          </w:tcPr>
          <w:p w14:paraId="74CB89FF" w14:textId="77777777" w:rsidR="00832223" w:rsidRDefault="00832223" w:rsidP="00C9615B">
            <w:pPr>
              <w:spacing w:line="240" w:lineRule="auto"/>
            </w:pPr>
            <w:r>
              <w:t>In the Matter of</w:t>
            </w:r>
          </w:p>
          <w:p w14:paraId="3F79FB04" w14:textId="77777777" w:rsidR="00832223" w:rsidRDefault="00832223" w:rsidP="00C9615B">
            <w:pPr>
              <w:spacing w:line="240" w:lineRule="auto"/>
            </w:pPr>
          </w:p>
          <w:bookmarkStart w:id="0" w:name="Respondent"/>
          <w:bookmarkEnd w:id="0"/>
          <w:p w14:paraId="459F9A33" w14:textId="524B3B8F" w:rsidR="00832223" w:rsidRPr="008F3169" w:rsidRDefault="00232285" w:rsidP="00C9615B">
            <w:pPr>
              <w:spacing w:line="240" w:lineRule="auto"/>
            </w:pPr>
            <w:sdt>
              <w:sdtPr>
                <w:alias w:val="Enter Respondent's Name"/>
                <w:tag w:val="Enter Respondent's Name"/>
                <w:id w:val="-1392577500"/>
                <w:placeholder>
                  <w:docPart w:val="3C6B7C5B5D7642F1A88F4392E848C3B6"/>
                </w:placeholder>
                <w15:color w:val="FF0000"/>
              </w:sdtPr>
              <w:sdtEndPr/>
              <w:sdtContent>
                <w:r w:rsidR="00E65ABE">
                  <w:t>RESPONDENT EE</w:t>
                </w:r>
              </w:sdtContent>
            </w:sdt>
            <w:r w:rsidR="00832223" w:rsidRPr="008F3169">
              <w:t>,</w:t>
            </w:r>
          </w:p>
          <w:p w14:paraId="16EB76E3" w14:textId="77777777" w:rsidR="00832223" w:rsidRDefault="00832223" w:rsidP="00C9615B">
            <w:pPr>
              <w:spacing w:line="240" w:lineRule="auto"/>
            </w:pPr>
          </w:p>
          <w:p w14:paraId="623CAC91" w14:textId="0E5C5EC6" w:rsidR="00832223" w:rsidRPr="00C11CC8" w:rsidRDefault="00832223" w:rsidP="00C9615B">
            <w:pPr>
              <w:spacing w:line="240" w:lineRule="auto"/>
            </w:pPr>
            <w:bookmarkStart w:id="1" w:name="type"/>
            <w:bookmarkStart w:id="2" w:name="memno"/>
            <w:bookmarkStart w:id="3" w:name="MemberNo"/>
            <w:bookmarkEnd w:id="1"/>
            <w:bookmarkEnd w:id="2"/>
            <w:bookmarkEnd w:id="3"/>
          </w:p>
        </w:tc>
        <w:tc>
          <w:tcPr>
            <w:tcW w:w="497" w:type="dxa"/>
            <w:tcBorders>
              <w:top w:val="nil"/>
              <w:left w:val="nil"/>
              <w:bottom w:val="nil"/>
              <w:right w:val="nil"/>
            </w:tcBorders>
            <w:tcMar>
              <w:left w:w="0" w:type="dxa"/>
              <w:right w:w="0" w:type="dxa"/>
            </w:tcMar>
          </w:tcPr>
          <w:p w14:paraId="4CB5292A" w14:textId="77777777" w:rsidR="00832223" w:rsidRPr="004D32E9" w:rsidRDefault="00832223" w:rsidP="00C9615B">
            <w:pPr>
              <w:spacing w:line="240" w:lineRule="auto"/>
            </w:pPr>
            <w:r w:rsidRPr="004D32E9">
              <w:t>)</w:t>
            </w:r>
          </w:p>
          <w:p w14:paraId="5CF91F13" w14:textId="77777777" w:rsidR="00832223" w:rsidRPr="004D32E9" w:rsidRDefault="00832223" w:rsidP="00C9615B">
            <w:pPr>
              <w:spacing w:line="240" w:lineRule="auto"/>
            </w:pPr>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14:paraId="5C2A0E8B" w14:textId="5C45C641" w:rsidR="00832223" w:rsidRPr="005E6703" w:rsidRDefault="00504FEC" w:rsidP="00C9615B">
            <w:pPr>
              <w:spacing w:line="240" w:lineRule="auto"/>
            </w:pPr>
            <w:bookmarkStart w:id="4" w:name="caseno"/>
            <w:bookmarkEnd w:id="4"/>
            <w:r>
              <w:t>XX-C-XXXXX</w:t>
            </w:r>
          </w:p>
          <w:p w14:paraId="547CC0E3" w14:textId="77777777" w:rsidR="00832223" w:rsidRDefault="00832223" w:rsidP="00C9615B">
            <w:pPr>
              <w:spacing w:line="240" w:lineRule="auto"/>
            </w:pPr>
          </w:p>
          <w:p w14:paraId="5100AEDD" w14:textId="541CCC0F" w:rsidR="00832223" w:rsidRPr="00D90643" w:rsidRDefault="006F25FE" w:rsidP="00C9615B">
            <w:pPr>
              <w:spacing w:line="240" w:lineRule="auto"/>
            </w:pPr>
            <w:bookmarkStart w:id="5" w:name="title"/>
            <w:bookmarkEnd w:id="5"/>
            <w:r>
              <w:t>OPINION ON SUMMARY REVIEW</w:t>
            </w:r>
          </w:p>
        </w:tc>
      </w:tr>
    </w:tbl>
    <w:p w14:paraId="392BD7F4" w14:textId="77777777" w:rsidR="00832223" w:rsidRDefault="00832223" w:rsidP="009E067F">
      <w:pPr>
        <w:spacing w:line="240" w:lineRule="auto"/>
      </w:pPr>
      <w:bookmarkStart w:id="6" w:name="start"/>
      <w:bookmarkEnd w:id="6"/>
    </w:p>
    <w:p w14:paraId="442D769D" w14:textId="3A6A170A" w:rsidR="006F25FE" w:rsidRPr="006F25FE" w:rsidRDefault="00B81C6A" w:rsidP="006F25FE">
      <w:pPr>
        <w:ind w:firstLine="720"/>
      </w:pPr>
      <w:r>
        <w:t>In</w:t>
      </w:r>
      <w:r w:rsidR="006F25FE" w:rsidRPr="006F25FE">
        <w:t xml:space="preserve"> December</w:t>
      </w:r>
      <w:r w:rsidR="00AF539B">
        <w:t xml:space="preserve"> </w:t>
      </w:r>
      <w:r w:rsidR="006F25FE" w:rsidRPr="006F25FE">
        <w:t xml:space="preserve">2023, a hearing judge granted </w:t>
      </w:r>
      <w:r w:rsidR="00D635D5">
        <w:t>Respondent EE’s</w:t>
      </w:r>
      <w:r w:rsidR="007A063D">
        <w:rPr>
          <w:rStyle w:val="FootnoteReference"/>
        </w:rPr>
        <w:footnoteReference w:id="2"/>
      </w:r>
      <w:r w:rsidR="006F25FE" w:rsidRPr="006F25FE">
        <w:t xml:space="preserve"> September</w:t>
      </w:r>
      <w:r w:rsidR="00EA59F6">
        <w:t> </w:t>
      </w:r>
      <w:r w:rsidR="006F25FE" w:rsidRPr="006F25FE">
        <w:t xml:space="preserve">2023 Motion to Vacate, Dismiss, and Seal in which the judge (1) vacated </w:t>
      </w:r>
      <w:r w:rsidR="0076325A">
        <w:t>a</w:t>
      </w:r>
      <w:r w:rsidR="0076325A" w:rsidRPr="006F25FE">
        <w:t xml:space="preserve"> </w:t>
      </w:r>
      <w:r w:rsidR="006F25FE" w:rsidRPr="006F25FE">
        <w:t>2019 public reproval order; (2)</w:t>
      </w:r>
      <w:r w:rsidR="005C4940">
        <w:t> </w:t>
      </w:r>
      <w:r w:rsidR="006F25FE" w:rsidRPr="006F25FE">
        <w:t>dismissed the proceeding without prejudice pursuant to rule</w:t>
      </w:r>
      <w:r w:rsidR="00EA59F6">
        <w:t> </w:t>
      </w:r>
      <w:r w:rsidR="006F25FE" w:rsidRPr="006F25FE">
        <w:t>5.124(G) of the Rules of Procedure of the State Bar</w:t>
      </w:r>
      <w:r w:rsidR="006F25FE" w:rsidRPr="006F25FE">
        <w:rPr>
          <w:vertAlign w:val="superscript"/>
        </w:rPr>
        <w:footnoteReference w:id="3"/>
      </w:r>
      <w:r w:rsidR="006F25FE" w:rsidRPr="006F25FE">
        <w:t xml:space="preserve"> and required any reference to this matter on his attorney profile page be removed pursuant to the clerk’s entry of dismissal; and (3) sealed the entire record of this proceeding pursuant to rule 5.12 (original order).  </w:t>
      </w:r>
      <w:r w:rsidR="00066F26">
        <w:t>The next day</w:t>
      </w:r>
      <w:r w:rsidR="006F25FE" w:rsidRPr="006F25FE">
        <w:t>, the judge entered a public order stating that the record had been sealed (public sealing order).</w:t>
      </w:r>
      <w:r w:rsidR="006F25FE" w:rsidRPr="006F25FE">
        <w:rPr>
          <w:vertAlign w:val="superscript"/>
        </w:rPr>
        <w:footnoteReference w:id="4"/>
      </w:r>
      <w:r w:rsidR="006F25FE" w:rsidRPr="006F25FE">
        <w:t xml:space="preserve">  One week later, the judge issued an amended order (amended order) that restated the language as used in the </w:t>
      </w:r>
      <w:r w:rsidR="00066F26">
        <w:t>original</w:t>
      </w:r>
      <w:r w:rsidR="006F25FE" w:rsidRPr="006F25FE">
        <w:t xml:space="preserve"> order, and clarified that three documents were not to be sealed and were to remain public, including our </w:t>
      </w:r>
      <w:r w:rsidR="00AC4500">
        <w:t xml:space="preserve">prior </w:t>
      </w:r>
      <w:r w:rsidR="006F25FE" w:rsidRPr="006F25FE">
        <w:t xml:space="preserve">published Opinion (2023 Opinion).  The amended order also referred the matter to the </w:t>
      </w:r>
      <w:r w:rsidR="006F25FE" w:rsidRPr="006F25FE">
        <w:lastRenderedPageBreak/>
        <w:t xml:space="preserve">Review Department to determine if our 2023 Opinion should be </w:t>
      </w:r>
      <w:proofErr w:type="spellStart"/>
      <w:r w:rsidR="006F25FE" w:rsidRPr="006F25FE">
        <w:t>depublished</w:t>
      </w:r>
      <w:proofErr w:type="spellEnd"/>
      <w:r w:rsidR="006F25FE" w:rsidRPr="006F25FE">
        <w:t xml:space="preserve"> and sealed.  Because of the amended order, the judge filed an additional public order regarding sealing (amended public sealing order) that reflected the amended order’s provision for the public status of the three documents. </w:t>
      </w:r>
    </w:p>
    <w:p w14:paraId="1F2C3642" w14:textId="5D0C9812" w:rsidR="006F25FE" w:rsidRPr="006F25FE" w:rsidRDefault="006F25FE" w:rsidP="006F25FE">
      <w:pPr>
        <w:ind w:firstLine="720"/>
      </w:pPr>
      <w:r w:rsidRPr="006F25FE">
        <w:t xml:space="preserve">OCTC seeks summary review and requests that we reverse the hearing judge’s original order and amended order, declaring them void, and further order that </w:t>
      </w:r>
      <w:r w:rsidR="007E68AC">
        <w:t>respondent’s</w:t>
      </w:r>
      <w:r w:rsidR="007E68AC" w:rsidRPr="006F25FE">
        <w:t xml:space="preserve"> </w:t>
      </w:r>
      <w:r w:rsidRPr="006F25FE">
        <w:t xml:space="preserve">2019 public reproval remain public and in full effect.  It also requests that his records not be sealed in any manner.  </w:t>
      </w:r>
      <w:r w:rsidR="008874C1">
        <w:t>Respondent</w:t>
      </w:r>
      <w:r w:rsidR="007E68AC" w:rsidRPr="006F25FE">
        <w:t xml:space="preserve"> </w:t>
      </w:r>
      <w:r w:rsidRPr="006F25FE">
        <w:t xml:space="preserve">asks us to dismiss OCTC’s request regarding the judge’s original order and to deny its request for the amended order or, in the alternative, to affirm the judge’s original order and amended order.  Upon our independent review of the record (Cal. Rules of Court, rule 9.12), we affirm the judge’s original order and amended order, except as </w:t>
      </w:r>
      <w:r w:rsidR="008874C1">
        <w:t>explained</w:t>
      </w:r>
      <w:r w:rsidR="008874C1" w:rsidRPr="006F25FE">
        <w:t xml:space="preserve"> </w:t>
      </w:r>
      <w:r w:rsidRPr="006F25FE">
        <w:t>below.</w:t>
      </w:r>
    </w:p>
    <w:p w14:paraId="7E2A57EA" w14:textId="03C2D57C" w:rsidR="006F25FE" w:rsidRPr="006F25FE" w:rsidRDefault="006F25FE" w:rsidP="006F25FE">
      <w:pPr>
        <w:pStyle w:val="Heading1"/>
      </w:pPr>
      <w:r w:rsidRPr="006F25FE">
        <w:t>PROCEDURAL HISTORY OF SUMMARY REVIEW</w:t>
      </w:r>
    </w:p>
    <w:p w14:paraId="397BB953" w14:textId="02E06C79" w:rsidR="006F25FE" w:rsidRPr="006F25FE" w:rsidRDefault="006E1570" w:rsidP="006F25FE">
      <w:pPr>
        <w:ind w:firstLine="720"/>
      </w:pPr>
      <w:r>
        <w:t>In</w:t>
      </w:r>
      <w:r w:rsidRPr="006F25FE">
        <w:t xml:space="preserve"> </w:t>
      </w:r>
      <w:r w:rsidR="006F25FE" w:rsidRPr="006F25FE">
        <w:t xml:space="preserve">January 2024, OCTC requested summary review of the hearing judge’s amended order pursuant to rule 5.157.  </w:t>
      </w:r>
      <w:r>
        <w:t>The next day</w:t>
      </w:r>
      <w:r w:rsidR="006F25FE" w:rsidRPr="006F25FE">
        <w:t xml:space="preserve">, </w:t>
      </w:r>
      <w:r>
        <w:t>respondent</w:t>
      </w:r>
      <w:r w:rsidRPr="006F25FE">
        <w:t xml:space="preserve"> </w:t>
      </w:r>
      <w:r w:rsidR="006F25FE" w:rsidRPr="006F25FE">
        <w:t xml:space="preserve">filed a response, contending that OCTC’s request for summary review was untimely regarding the original order or, alternatively, the appeal should be limited to only the amendments that were made to the amended order issued the following week.  </w:t>
      </w:r>
      <w:r w:rsidR="00AD264C">
        <w:t>In</w:t>
      </w:r>
      <w:r w:rsidR="00AD264C" w:rsidRPr="006F25FE">
        <w:t xml:space="preserve"> </w:t>
      </w:r>
      <w:r w:rsidR="006F25FE" w:rsidRPr="006F25FE">
        <w:t>February</w:t>
      </w:r>
      <w:r w:rsidR="00EA59F6">
        <w:t> </w:t>
      </w:r>
      <w:r w:rsidR="006F25FE" w:rsidRPr="006F25FE">
        <w:t>2024, we designated the matter for summary review,</w:t>
      </w:r>
      <w:r w:rsidR="006F25FE" w:rsidRPr="006F25FE">
        <w:rPr>
          <w:vertAlign w:val="superscript"/>
        </w:rPr>
        <w:footnoteReference w:id="5"/>
      </w:r>
      <w:r w:rsidR="006F25FE" w:rsidRPr="006F25FE">
        <w:t xml:space="preserve"> and we also determined that OCTC’s request was timely filed based on rule</w:t>
      </w:r>
      <w:r w:rsidR="00EA59F6">
        <w:t> </w:t>
      </w:r>
      <w:r w:rsidR="006F25FE" w:rsidRPr="006F25FE">
        <w:t>5.28.</w:t>
      </w:r>
      <w:r w:rsidR="006F25FE" w:rsidRPr="006F25FE">
        <w:rPr>
          <w:vertAlign w:val="superscript"/>
        </w:rPr>
        <w:footnoteReference w:id="6"/>
      </w:r>
      <w:r w:rsidR="006F25FE" w:rsidRPr="006F25FE">
        <w:t xml:space="preserve">  The parties subsequently filed their respective memoranda pursuant to rule 5.157(F)-(H).  </w:t>
      </w:r>
    </w:p>
    <w:p w14:paraId="3284C3E1" w14:textId="7C8FE611" w:rsidR="006F25FE" w:rsidRPr="006F25FE" w:rsidRDefault="006F25FE" w:rsidP="006F25FE">
      <w:pPr>
        <w:pStyle w:val="Heading1"/>
      </w:pPr>
      <w:r w:rsidRPr="006F25FE">
        <w:lastRenderedPageBreak/>
        <w:t>OCTC’S TIMELY SUMMARY REVIEW REQUEST ALLOWS REVIEW</w:t>
      </w:r>
      <w:r>
        <w:t xml:space="preserve"> </w:t>
      </w:r>
      <w:r w:rsidRPr="006F25FE">
        <w:t>OF</w:t>
      </w:r>
      <w:r>
        <w:t xml:space="preserve"> </w:t>
      </w:r>
      <w:r w:rsidRPr="006F25FE">
        <w:t>ALL LEGAL ISSUES RAISED IN ITS OPENING MEMORANDUM</w:t>
      </w:r>
    </w:p>
    <w:p w14:paraId="10E17AC4" w14:textId="45FABFF2" w:rsidR="006F25FE" w:rsidRPr="006F25FE" w:rsidRDefault="006F25FE" w:rsidP="006F25FE">
      <w:pPr>
        <w:ind w:firstLine="720"/>
      </w:pPr>
      <w:r w:rsidRPr="006F25FE">
        <w:t xml:space="preserve">We initially dispose of </w:t>
      </w:r>
      <w:r w:rsidR="008A7BFA">
        <w:t>respondent’s</w:t>
      </w:r>
      <w:r w:rsidR="008A7BFA" w:rsidRPr="006F25FE">
        <w:t xml:space="preserve"> </w:t>
      </w:r>
      <w:r w:rsidRPr="006F25FE">
        <w:t xml:space="preserve">argument that OCTC “did not file a timely request for review of the </w:t>
      </w:r>
      <w:r w:rsidR="0068151B">
        <w:t>[original</w:t>
      </w:r>
      <w:r w:rsidRPr="006F25FE">
        <w:t xml:space="preserve"> order</w:t>
      </w:r>
      <w:r w:rsidR="00B60C54">
        <w:t>]</w:t>
      </w:r>
      <w:r w:rsidRPr="006F25FE">
        <w:t xml:space="preserve">,” and thus summary review is inappropriate.  </w:t>
      </w:r>
      <w:r w:rsidR="0068151B">
        <w:t>Respondent</w:t>
      </w:r>
      <w:r w:rsidR="0068151B" w:rsidRPr="006F25FE">
        <w:t xml:space="preserve"> </w:t>
      </w:r>
      <w:r w:rsidRPr="006F25FE">
        <w:t xml:space="preserve">argues OCTC did not state in its request for summary review that it was appealing the original order but only the amended order.  He further posits that, because the amended order did not vacate the original order, the vacating of the stipulation, dismissing of the proceeding, and the sealing of the record all occurred </w:t>
      </w:r>
      <w:r w:rsidR="0068151B">
        <w:t>at the time of the original order</w:t>
      </w:r>
      <w:r w:rsidRPr="006F25FE">
        <w:t xml:space="preserve"> and was not done a second time </w:t>
      </w:r>
      <w:r w:rsidR="002D5B16">
        <w:t>in the amended order</w:t>
      </w:r>
      <w:r w:rsidRPr="006F25FE">
        <w:t>.</w:t>
      </w:r>
      <w:r w:rsidRPr="006F25FE">
        <w:rPr>
          <w:vertAlign w:val="superscript"/>
        </w:rPr>
        <w:footnoteReference w:id="7"/>
      </w:r>
      <w:r w:rsidRPr="006F25FE">
        <w:t xml:space="preserve">  He concludes that the amended order “merely unsealed three documents and referred the matter to the Review Department,” and thus the issues that OCTC raises in its opening memorandum regarding the stipulation, dismissal, and sealing cannot be considered timely appealed.  As a related and second argument, </w:t>
      </w:r>
      <w:r w:rsidR="006467DA">
        <w:t>respondent</w:t>
      </w:r>
      <w:r w:rsidR="006467DA" w:rsidRPr="006F25FE">
        <w:t xml:space="preserve"> </w:t>
      </w:r>
      <w:r w:rsidRPr="006F25FE">
        <w:t>contends we lacked authority when we made a statement that was “factually not accurate” in our February 2024 order and “spontaneously convert[ed]” OCTC’s request to include the original order when it only requested review of the amended order, and that we will exceed our authority if we undertake a review of the original order.  OCTC disputes his arguments as an attempt “to split hairs” regarding our February order, its request for review, and their relationship to the original order and amended order and argues no procedural fault exists in its appeal of the amended order because it relates back to and modifies the original order.</w:t>
      </w:r>
    </w:p>
    <w:p w14:paraId="2F871D73" w14:textId="39331872" w:rsidR="005C4940" w:rsidRDefault="006F25FE" w:rsidP="006F25FE">
      <w:pPr>
        <w:ind w:firstLine="720"/>
      </w:pPr>
      <w:r w:rsidRPr="006F25FE">
        <w:t xml:space="preserve">We </w:t>
      </w:r>
      <w:r w:rsidR="00F300BF">
        <w:t>reject</w:t>
      </w:r>
      <w:r w:rsidRPr="006F25FE">
        <w:t xml:space="preserve"> </w:t>
      </w:r>
      <w:r w:rsidR="00995B09">
        <w:t>respondent’s</w:t>
      </w:r>
      <w:r w:rsidR="00995B09" w:rsidRPr="006F25FE">
        <w:t xml:space="preserve"> </w:t>
      </w:r>
      <w:r w:rsidRPr="006F25FE">
        <w:t xml:space="preserve">arguments.  At the outset, </w:t>
      </w:r>
      <w:r w:rsidR="00995B09">
        <w:t>respondent</w:t>
      </w:r>
      <w:r w:rsidR="00995B09" w:rsidRPr="006F25FE">
        <w:t xml:space="preserve"> </w:t>
      </w:r>
      <w:r w:rsidRPr="006F25FE">
        <w:t xml:space="preserve">presents no authority to support his arguments that OCTC failed to timely request review of any issue as raised in its </w:t>
      </w:r>
      <w:r w:rsidRPr="006F25FE">
        <w:lastRenderedPageBreak/>
        <w:t>opening memorandum.</w:t>
      </w:r>
      <w:r w:rsidRPr="006F25FE">
        <w:rPr>
          <w:vertAlign w:val="superscript"/>
        </w:rPr>
        <w:footnoteReference w:id="8"/>
      </w:r>
      <w:r w:rsidRPr="006F25FE">
        <w:t xml:space="preserve">  In his arguments, </w:t>
      </w:r>
      <w:r w:rsidR="00995B09">
        <w:t>respondent</w:t>
      </w:r>
      <w:r w:rsidR="00995B09" w:rsidRPr="006F25FE">
        <w:t xml:space="preserve"> </w:t>
      </w:r>
      <w:r w:rsidRPr="006F25FE">
        <w:t>appears to concede that OCTC’s January</w:t>
      </w:r>
      <w:r w:rsidR="00C80661">
        <w:t> </w:t>
      </w:r>
      <w:r w:rsidRPr="006F25FE">
        <w:t xml:space="preserve">2024 request was timely but contests the scope of the request that it made.  </w:t>
      </w:r>
      <w:r w:rsidR="005C4940">
        <w:t>Respondent states that OCTC filed its request for review in January 2024, and acknowledges that rule 5.28 extends OCTC’s filing deadline by two days when orders are served electronically.  Therefore, regarding both the original order and the amended order, OCTC’s January 2024 filing was timely.  (See rule 5.157(E)(1) [request for summary review must be filed within 30 days after hearing judge’s decision is served].)</w:t>
      </w:r>
    </w:p>
    <w:p w14:paraId="352F765D" w14:textId="4F84AA53" w:rsidR="006F25FE" w:rsidRPr="006F25FE" w:rsidRDefault="006F25FE" w:rsidP="006F25FE">
      <w:pPr>
        <w:ind w:firstLine="720"/>
      </w:pPr>
      <w:r w:rsidRPr="006F25FE">
        <w:t>When one reads OCTC’s request for review, it makes no mention of any issue in particular and simply requests that the amended order be summarily reviewed, and the amended order does, in fact, order the vacating of the stipulation, dismissing of the proceeding, and sealing of the record.  We see no rule or precedent that would require OCTC to word its timely request for review to specifically reference the original order.  (Cf. generally rules 5.157(A) [scope for summary review] &amp; 5.157(E) [requests for summary review].)</w:t>
      </w:r>
    </w:p>
    <w:p w14:paraId="78DC9A5C" w14:textId="2113B663" w:rsidR="006F25FE" w:rsidRPr="006F25FE" w:rsidRDefault="006F25FE" w:rsidP="006F25FE">
      <w:pPr>
        <w:ind w:firstLine="720"/>
      </w:pPr>
      <w:r w:rsidRPr="006F25FE">
        <w:t xml:space="preserve">Additionally, </w:t>
      </w:r>
      <w:r w:rsidR="00EA59F6">
        <w:t>rule </w:t>
      </w:r>
      <w:r w:rsidRPr="006F25FE">
        <w:t xml:space="preserve">5.157(F)(1) states that the opening memorandum must “concisely state the issues for review, including, if applicable, how the conclusions of law or disposition or both should be modified.”  At the beginning of its opening memorandum, OCTC makes clear that it is seeking </w:t>
      </w:r>
      <w:r w:rsidR="00DB3E5F">
        <w:t xml:space="preserve">to reverse and void </w:t>
      </w:r>
      <w:r w:rsidRPr="006F25FE">
        <w:t xml:space="preserve">both the original order and the amended order where the hearing judge vacated the stipulation, dismissed the proceeding, and sealed the record.  In fact, OCTC’s arguments regarding both orders and the judge’s ruling are discussed in detail where relevant to the issues it raises.  Given that OCTC stated the pertinent issues and identified both of the </w:t>
      </w:r>
      <w:r w:rsidRPr="006F25FE">
        <w:lastRenderedPageBreak/>
        <w:t xml:space="preserve">judge’s orders in accordance with </w:t>
      </w:r>
      <w:r w:rsidR="00EA59F6">
        <w:t>rule </w:t>
      </w:r>
      <w:r w:rsidRPr="006F25FE">
        <w:t xml:space="preserve">5.157(F)(1), we reject </w:t>
      </w:r>
      <w:r w:rsidR="00365032">
        <w:t>respondent’s</w:t>
      </w:r>
      <w:r w:rsidR="00365032" w:rsidRPr="006F25FE">
        <w:t xml:space="preserve"> </w:t>
      </w:r>
      <w:r w:rsidRPr="006F25FE">
        <w:t>attempts to dismiss OCTC’s appeal on procedural grounds.</w:t>
      </w:r>
      <w:r w:rsidRPr="006F25FE">
        <w:rPr>
          <w:vertAlign w:val="superscript"/>
        </w:rPr>
        <w:footnoteReference w:id="9"/>
      </w:r>
    </w:p>
    <w:p w14:paraId="421AADB0" w14:textId="54AB22AB" w:rsidR="006F25FE" w:rsidRPr="006F25FE" w:rsidRDefault="006F25FE" w:rsidP="006F25FE">
      <w:pPr>
        <w:pStyle w:val="Heading1"/>
      </w:pPr>
      <w:r w:rsidRPr="006F25FE">
        <w:t xml:space="preserve">THE HEARING JUDGE’S ORDERS GRANTING THE MOTION TO </w:t>
      </w:r>
      <w:r w:rsidR="007D27A5">
        <w:br/>
      </w:r>
      <w:r w:rsidRPr="006F25FE">
        <w:t>VACATE, DISMISS, AND SEAL WERE PROPERLY ISSUED</w:t>
      </w:r>
    </w:p>
    <w:p w14:paraId="7690EDB4" w14:textId="77777777" w:rsidR="006F25FE" w:rsidRPr="006F25FE" w:rsidRDefault="006F25FE" w:rsidP="006F25FE">
      <w:pPr>
        <w:pStyle w:val="Heading2"/>
      </w:pPr>
      <w:r w:rsidRPr="006F25FE">
        <w:t>Pertinent Summary of Events Related to the Hearing Judge’s Original Order and Amended Order</w:t>
      </w:r>
    </w:p>
    <w:p w14:paraId="5014B1F7" w14:textId="2DED7E40" w:rsidR="006F25FE" w:rsidRPr="006F25FE" w:rsidRDefault="00E44963" w:rsidP="006F25FE">
      <w:pPr>
        <w:ind w:firstLine="720"/>
      </w:pPr>
      <w:r>
        <w:t>In</w:t>
      </w:r>
      <w:r w:rsidR="006F25FE" w:rsidRPr="006F25FE">
        <w:t xml:space="preserve"> 2018, </w:t>
      </w:r>
      <w:r>
        <w:t>respondent</w:t>
      </w:r>
      <w:r w:rsidRPr="006F25FE">
        <w:t xml:space="preserve"> </w:t>
      </w:r>
      <w:r w:rsidR="006F25FE" w:rsidRPr="006F25FE">
        <w:t>pleaded nolo contendere to a misdemeanor charge under Penal Code section</w:t>
      </w:r>
      <w:r w:rsidR="00C80661">
        <w:t> </w:t>
      </w:r>
      <w:r w:rsidR="006F25FE" w:rsidRPr="006F25FE">
        <w:t>632, subdivision (a) (eavesdropping upon or recording confidential communications).</w:t>
      </w:r>
      <w:r w:rsidR="006F25FE" w:rsidRPr="006F25FE">
        <w:rPr>
          <w:vertAlign w:val="superscript"/>
        </w:rPr>
        <w:footnoteReference w:id="10"/>
      </w:r>
      <w:r w:rsidR="006F25FE" w:rsidRPr="006F25FE">
        <w:t xml:space="preserve">  All other charges against </w:t>
      </w:r>
      <w:r w:rsidR="005C4940">
        <w:t>respondent</w:t>
      </w:r>
      <w:r w:rsidRPr="006F25FE">
        <w:t xml:space="preserve"> </w:t>
      </w:r>
      <w:r w:rsidR="006F25FE" w:rsidRPr="006F25FE">
        <w:t>were dismissed.</w:t>
      </w:r>
      <w:r w:rsidR="006F25FE" w:rsidRPr="006F25FE">
        <w:rPr>
          <w:vertAlign w:val="superscript"/>
        </w:rPr>
        <w:footnoteReference w:id="11"/>
      </w:r>
      <w:r w:rsidR="006F25FE" w:rsidRPr="006F25FE">
        <w:t xml:space="preserve">  His plea included his admission that he, </w:t>
      </w:r>
      <w:r>
        <w:t>in</w:t>
      </w:r>
      <w:r w:rsidR="006F25FE" w:rsidRPr="006F25FE">
        <w:t xml:space="preserve"> 2017, recorded three conversations with his then wife, which occurred in their home</w:t>
      </w:r>
      <w:r w:rsidR="00CC14F3">
        <w:t>,</w:t>
      </w:r>
      <w:r w:rsidR="006F25FE" w:rsidRPr="006F25FE">
        <w:t xml:space="preserve"> and </w:t>
      </w:r>
      <w:r w:rsidR="005C4940">
        <w:t>respondent</w:t>
      </w:r>
      <w:r w:rsidRPr="006F25FE">
        <w:t xml:space="preserve"> </w:t>
      </w:r>
      <w:r w:rsidR="006F25FE" w:rsidRPr="006F25FE">
        <w:t xml:space="preserve">did not have her consent to record any of the conversations.  </w:t>
      </w:r>
      <w:r>
        <w:t>Respondent</w:t>
      </w:r>
      <w:r w:rsidRPr="006F25FE">
        <w:t xml:space="preserve"> </w:t>
      </w:r>
      <w:r w:rsidR="006F25FE" w:rsidRPr="006F25FE">
        <w:t xml:space="preserve">was sentenced to three years of informal probation.  </w:t>
      </w:r>
    </w:p>
    <w:p w14:paraId="44FC42C5" w14:textId="312D55D7" w:rsidR="006F25FE" w:rsidRPr="006F25FE" w:rsidRDefault="00F34F4A" w:rsidP="006F25FE">
      <w:pPr>
        <w:ind w:firstLine="720"/>
      </w:pPr>
      <w:r>
        <w:lastRenderedPageBreak/>
        <w:t>In</w:t>
      </w:r>
      <w:r w:rsidR="006F25FE" w:rsidRPr="006F25FE">
        <w:t xml:space="preserve"> 2018, OCTC transmitted to us the record of </w:t>
      </w:r>
      <w:r>
        <w:t>respondent’s</w:t>
      </w:r>
      <w:r w:rsidRPr="006F25FE">
        <w:t xml:space="preserve"> </w:t>
      </w:r>
      <w:r w:rsidR="006F25FE" w:rsidRPr="006F25FE">
        <w:t xml:space="preserve">criminal conviction.  </w:t>
      </w:r>
      <w:r w:rsidR="009875BA">
        <w:t>In</w:t>
      </w:r>
      <w:r w:rsidR="006F25FE" w:rsidRPr="006F25FE">
        <w:t xml:space="preserve"> 2019, </w:t>
      </w:r>
      <w:r w:rsidR="009875BA">
        <w:t>respondent</w:t>
      </w:r>
      <w:r w:rsidR="009875BA" w:rsidRPr="006F25FE">
        <w:t xml:space="preserve"> </w:t>
      </w:r>
      <w:r w:rsidR="006F25FE" w:rsidRPr="006F25FE">
        <w:t>filed a waiver of finality for his conviction (</w:t>
      </w:r>
      <w:r w:rsidR="00EA59F6">
        <w:t>rule </w:t>
      </w:r>
      <w:r w:rsidR="006F25FE" w:rsidRPr="006F25FE">
        <w:t>5.344(B)</w:t>
      </w:r>
      <w:r w:rsidR="00A95DCA">
        <w:t>)</w:t>
      </w:r>
      <w:r w:rsidR="006F25FE" w:rsidRPr="006F25FE">
        <w:t>,</w:t>
      </w:r>
      <w:r w:rsidR="006F25FE" w:rsidRPr="006F25FE">
        <w:rPr>
          <w:vertAlign w:val="superscript"/>
        </w:rPr>
        <w:footnoteReference w:id="12"/>
      </w:r>
      <w:r w:rsidR="006F25FE" w:rsidRPr="006F25FE">
        <w:t xml:space="preserve"> and we referred the matter to the Hearing Department to determine whether the facts and circumstances surrounding the misdemeanor conviction involved moral turpitude or other misconduct warranting discipline.  (Bus. &amp; Prof. Code, § 6102, subd. (e);</w:t>
      </w:r>
      <w:r w:rsidR="006F25FE" w:rsidRPr="006F25FE">
        <w:rPr>
          <w:vertAlign w:val="superscript"/>
        </w:rPr>
        <w:footnoteReference w:id="13"/>
      </w:r>
      <w:r w:rsidR="006F25FE" w:rsidRPr="006F25FE">
        <w:t xml:space="preserve"> rule 5.344(A).)  </w:t>
      </w:r>
      <w:r w:rsidR="009875BA">
        <w:t xml:space="preserve">In </w:t>
      </w:r>
      <w:r w:rsidR="006F25FE" w:rsidRPr="006F25FE">
        <w:t xml:space="preserve">2019, a hearing judge ordered </w:t>
      </w:r>
      <w:r w:rsidR="003E5F94">
        <w:t>respondent</w:t>
      </w:r>
      <w:r w:rsidR="003E5F94" w:rsidRPr="006F25FE">
        <w:t xml:space="preserve"> </w:t>
      </w:r>
      <w:r w:rsidR="006F25FE" w:rsidRPr="006F25FE">
        <w:t>publicly reproved based on a stipulation between him and OCTC, which, inter alia, reflected the misdemeanor eavesdropping conviction, the underlying factual basis for the conviction, and that, although the violation did not involve moral turpitude, it constituted other misconduct that warranted discipline.</w:t>
      </w:r>
    </w:p>
    <w:p w14:paraId="1C9A6AF1" w14:textId="29582C22" w:rsidR="006F25FE" w:rsidRPr="006F25FE" w:rsidRDefault="006F25FE" w:rsidP="006F25FE">
      <w:pPr>
        <w:ind w:firstLine="720"/>
      </w:pPr>
      <w:r w:rsidRPr="006F25FE">
        <w:t xml:space="preserve">Following the finality of the 2019 public reproval order, </w:t>
      </w:r>
      <w:r w:rsidR="003E5F94">
        <w:t>respondent</w:t>
      </w:r>
      <w:r w:rsidR="003E5F94" w:rsidRPr="006F25FE">
        <w:t xml:space="preserve"> </w:t>
      </w:r>
      <w:r w:rsidRPr="006F25FE">
        <w:t>took steps to ameliorate his 2018 criminal conviction in state court.  First, in January 2020, he obtained a Penal Code section</w:t>
      </w:r>
      <w:r w:rsidR="006A3022">
        <w:t> </w:t>
      </w:r>
      <w:r w:rsidRPr="006F25FE">
        <w:t xml:space="preserve">851.8 factual innocence finding regarding the dismissed counts in his criminal case.  Next, in November 2020, </w:t>
      </w:r>
      <w:r w:rsidR="003E5F94">
        <w:t>respondent</w:t>
      </w:r>
      <w:r w:rsidR="003E5F94" w:rsidRPr="006F25FE">
        <w:t xml:space="preserve"> </w:t>
      </w:r>
      <w:r w:rsidRPr="006F25FE">
        <w:t>was allowed to withdraw his nolo contendere plea to the Penal Code section</w:t>
      </w:r>
      <w:r w:rsidR="006A3022">
        <w:t> </w:t>
      </w:r>
      <w:r w:rsidRPr="006F25FE">
        <w:t>632, subdivision (a), conviction and obtained dismissal of the conviction pursuant to Penal Code section 1203.4.</w:t>
      </w:r>
      <w:r w:rsidRPr="006F25FE">
        <w:rPr>
          <w:vertAlign w:val="superscript"/>
        </w:rPr>
        <w:footnoteReference w:id="14"/>
      </w:r>
      <w:r w:rsidRPr="006F25FE">
        <w:t xml:space="preserve">  </w:t>
      </w:r>
    </w:p>
    <w:p w14:paraId="6B055E30" w14:textId="3F578FE4" w:rsidR="006F25FE" w:rsidRPr="006F25FE" w:rsidRDefault="005705CB" w:rsidP="006F25FE">
      <w:pPr>
        <w:ind w:firstLine="720"/>
      </w:pPr>
      <w:r>
        <w:lastRenderedPageBreak/>
        <w:t>In</w:t>
      </w:r>
      <w:r w:rsidR="006F25FE" w:rsidRPr="006F25FE">
        <w:t xml:space="preserve"> 2022, </w:t>
      </w:r>
      <w:r w:rsidR="008874C1">
        <w:t>respondent</w:t>
      </w:r>
      <w:r w:rsidR="008874C1" w:rsidRPr="006F25FE">
        <w:t xml:space="preserve"> </w:t>
      </w:r>
      <w:r w:rsidR="006F25FE" w:rsidRPr="006F25FE">
        <w:t>filed a motion with the hearing judge to withdraw from the 2019 stipulation and vacate the public reproval order, which the judge denied.</w:t>
      </w:r>
      <w:r w:rsidR="006F25FE" w:rsidRPr="006F25FE">
        <w:rPr>
          <w:vertAlign w:val="superscript"/>
        </w:rPr>
        <w:footnoteReference w:id="15"/>
      </w:r>
      <w:r w:rsidR="006F25FE" w:rsidRPr="006F25FE">
        <w:t xml:space="preserve">  </w:t>
      </w:r>
      <w:r w:rsidR="001C4854">
        <w:t>Respondent</w:t>
      </w:r>
      <w:r w:rsidR="001C4854" w:rsidRPr="006F25FE">
        <w:t xml:space="preserve"> </w:t>
      </w:r>
      <w:r w:rsidR="006F25FE" w:rsidRPr="006F25FE">
        <w:t xml:space="preserve">then sought review with us.  In our 2023 Opinion, we upheld the judge’s denial and rejected </w:t>
      </w:r>
      <w:r w:rsidR="001C4854">
        <w:t>respondent’s</w:t>
      </w:r>
      <w:r w:rsidR="001C4854" w:rsidRPr="006F25FE">
        <w:t xml:space="preserve"> </w:t>
      </w:r>
      <w:r w:rsidR="006F25FE" w:rsidRPr="006F25FE">
        <w:t>arguments as raised in his request for review, including his argument that the stipulation should be set aside and his public reproval order be vacated when he obtained a dismissal of his misdemeanor eavesdropping conviction pursuant to Penal Code section</w:t>
      </w:r>
      <w:r w:rsidR="00E93F12">
        <w:t xml:space="preserve"> </w:t>
      </w:r>
      <w:r w:rsidR="006F25FE" w:rsidRPr="006F25FE">
        <w:t>1203.4 from superior court</w:t>
      </w:r>
      <w:bookmarkStart w:id="8" w:name="_Hlk126697608"/>
      <w:r w:rsidR="006F25FE" w:rsidRPr="006F25FE">
        <w:t xml:space="preserve">.  </w:t>
      </w:r>
      <w:r w:rsidR="00CC7081">
        <w:t>Respondent</w:t>
      </w:r>
      <w:r w:rsidR="00CC7081" w:rsidRPr="006F25FE">
        <w:t xml:space="preserve"> </w:t>
      </w:r>
      <w:r w:rsidR="006F25FE" w:rsidRPr="006F25FE">
        <w:t>then filed a petition for review in the California Supreme Court on April 5, making the same arguments that he raised with us regarding the effect of the</w:t>
      </w:r>
      <w:r w:rsidR="00E93F12">
        <w:t xml:space="preserve"> Penal Code</w:t>
      </w:r>
      <w:r w:rsidR="006F25FE" w:rsidRPr="006F25FE">
        <w:t xml:space="preserve"> section 1203.4 dismissal from superior court. </w:t>
      </w:r>
    </w:p>
    <w:p w14:paraId="47FB51F2" w14:textId="340B7EAF" w:rsidR="006F25FE" w:rsidRPr="006F25FE" w:rsidRDefault="006F25FE" w:rsidP="006F25FE">
      <w:pPr>
        <w:ind w:firstLine="720"/>
      </w:pPr>
      <w:r w:rsidRPr="006F25FE">
        <w:t xml:space="preserve">Approximately two weeks after he filed his petition for review in the California Supreme Court, a San Joaquin County Superior Court judge issued the following orders in </w:t>
      </w:r>
      <w:r w:rsidR="00CC7081">
        <w:t>respondent’s</w:t>
      </w:r>
      <w:r w:rsidR="00CC7081" w:rsidRPr="006F25FE">
        <w:t xml:space="preserve"> </w:t>
      </w:r>
      <w:r w:rsidRPr="006F25FE">
        <w:t>misdemeanor criminal matter upon unsealing the superior court file: the court (1)</w:t>
      </w:r>
      <w:r>
        <w:t> </w:t>
      </w:r>
      <w:r w:rsidRPr="006F25FE">
        <w:t>vacated the 2020 expungement obtained under Penal Code section 1203.4; (2)</w:t>
      </w:r>
      <w:r>
        <w:t> </w:t>
      </w:r>
      <w:r w:rsidRPr="006F25FE">
        <w:t xml:space="preserve">vacated </w:t>
      </w:r>
      <w:r w:rsidR="006B599B">
        <w:t>respondent’s</w:t>
      </w:r>
      <w:r w:rsidR="006B599B" w:rsidRPr="006F25FE">
        <w:t xml:space="preserve"> </w:t>
      </w:r>
      <w:r w:rsidRPr="006F25FE">
        <w:t xml:space="preserve">Penal Code section 632, subdivision (a), 2018 misdemeanor conviction; and (3) dismissed </w:t>
      </w:r>
      <w:r w:rsidR="006B599B">
        <w:t>respondent’s</w:t>
      </w:r>
      <w:r w:rsidR="006B599B" w:rsidRPr="006F25FE">
        <w:t xml:space="preserve"> </w:t>
      </w:r>
      <w:r w:rsidRPr="006F25FE">
        <w:lastRenderedPageBreak/>
        <w:t>conviction pursuant to Penal Code sections</w:t>
      </w:r>
      <w:r w:rsidR="00975DE1">
        <w:t> </w:t>
      </w:r>
      <w:r w:rsidRPr="006F25FE">
        <w:t>1385 and 1473.7.</w:t>
      </w:r>
      <w:r w:rsidRPr="006F25FE">
        <w:rPr>
          <w:vertAlign w:val="superscript"/>
        </w:rPr>
        <w:footnoteReference w:id="16"/>
      </w:r>
      <w:r w:rsidRPr="006F25FE">
        <w:t xml:space="preserve">  The judge also stated that he was making “a finding of factual innocence” and then ordered the file to be re-sealed.</w:t>
      </w:r>
      <w:bookmarkEnd w:id="8"/>
      <w:r w:rsidRPr="006F25FE">
        <w:rPr>
          <w:vertAlign w:val="superscript"/>
        </w:rPr>
        <w:footnoteReference w:id="17"/>
      </w:r>
    </w:p>
    <w:p w14:paraId="0F838A28" w14:textId="7D8F010A" w:rsidR="006F25FE" w:rsidRPr="006F25FE" w:rsidRDefault="006B599B" w:rsidP="006F25FE">
      <w:pPr>
        <w:ind w:firstLine="720"/>
      </w:pPr>
      <w:r>
        <w:t>T</w:t>
      </w:r>
      <w:r w:rsidR="006F25FE" w:rsidRPr="006F25FE">
        <w:t xml:space="preserve">he State Bar filed its response to </w:t>
      </w:r>
      <w:r w:rsidR="006E0F8E">
        <w:t>respondent’s</w:t>
      </w:r>
      <w:r w:rsidR="006E0F8E" w:rsidRPr="006F25FE">
        <w:t xml:space="preserve"> </w:t>
      </w:r>
      <w:r w:rsidR="006F25FE" w:rsidRPr="006F25FE">
        <w:t xml:space="preserve">petition in the California Supreme Court.  The State Bar attached to its response a copy of the superior court order that dismissed </w:t>
      </w:r>
      <w:r>
        <w:t>respondent’s</w:t>
      </w:r>
      <w:r w:rsidRPr="006F25FE">
        <w:t xml:space="preserve"> </w:t>
      </w:r>
      <w:r w:rsidR="006F25FE" w:rsidRPr="006F25FE">
        <w:t>conviction pursuant to Penal Code sections</w:t>
      </w:r>
      <w:r w:rsidR="00817284">
        <w:t> </w:t>
      </w:r>
      <w:r w:rsidR="006F25FE" w:rsidRPr="006F25FE">
        <w:t xml:space="preserve">1385 and 1473.7.  Nineteen days later, the Supreme Court issued a summary denial of </w:t>
      </w:r>
      <w:r w:rsidR="00817284">
        <w:t>respondent’s</w:t>
      </w:r>
      <w:r w:rsidR="00817284" w:rsidRPr="006F25FE">
        <w:t xml:space="preserve"> </w:t>
      </w:r>
      <w:r w:rsidR="006F25FE" w:rsidRPr="006F25FE">
        <w:t>petition.</w:t>
      </w:r>
    </w:p>
    <w:p w14:paraId="4457E0D2" w14:textId="634349D8" w:rsidR="006F25FE" w:rsidRPr="006F25FE" w:rsidRDefault="00AB3CEB" w:rsidP="006F25FE">
      <w:pPr>
        <w:ind w:firstLine="720"/>
      </w:pPr>
      <w:r>
        <w:t>Three months later</w:t>
      </w:r>
      <w:r w:rsidR="006F25FE" w:rsidRPr="006F25FE">
        <w:t xml:space="preserve">, </w:t>
      </w:r>
      <w:r w:rsidR="003E4145">
        <w:t>respondent</w:t>
      </w:r>
      <w:r w:rsidR="003E4145" w:rsidRPr="006F25FE">
        <w:t xml:space="preserve"> </w:t>
      </w:r>
      <w:r w:rsidR="006F25FE" w:rsidRPr="006F25FE">
        <w:t xml:space="preserve">filed in the Hearing Department his Motion to Vacate, Dismiss, and Seal.  OCTC filed </w:t>
      </w:r>
      <w:r>
        <w:t>an</w:t>
      </w:r>
      <w:r w:rsidRPr="006F25FE">
        <w:t xml:space="preserve"> </w:t>
      </w:r>
      <w:r w:rsidR="006F25FE" w:rsidRPr="006F25FE">
        <w:t xml:space="preserve">opposition.  The hearing judge ordered two supplemental briefings from the parties.  </w:t>
      </w:r>
      <w:r w:rsidR="000E5AEA">
        <w:t>T</w:t>
      </w:r>
      <w:r w:rsidR="006F25FE" w:rsidRPr="006F25FE">
        <w:t xml:space="preserve">he judge issued </w:t>
      </w:r>
      <w:r w:rsidR="00A12C1F">
        <w:t>the original</w:t>
      </w:r>
      <w:r w:rsidR="00A12C1F" w:rsidRPr="006F25FE">
        <w:t xml:space="preserve"> </w:t>
      </w:r>
      <w:r w:rsidR="006F25FE" w:rsidRPr="006F25FE">
        <w:t xml:space="preserve">order granting the motion; vacating the 2019 public reproval order based on the superior court’s dismissal of </w:t>
      </w:r>
      <w:r w:rsidR="003E4145">
        <w:t>respondent’s</w:t>
      </w:r>
      <w:r w:rsidR="003E4145" w:rsidRPr="006F25FE">
        <w:t xml:space="preserve"> </w:t>
      </w:r>
      <w:r w:rsidR="006F25FE" w:rsidRPr="006F25FE">
        <w:t>Penal Code section 632, subdivision (a), conviction pursuant to Penal Code sections</w:t>
      </w:r>
      <w:r w:rsidR="005D0A9E">
        <w:t> </w:t>
      </w:r>
      <w:r w:rsidR="006F25FE" w:rsidRPr="006F25FE">
        <w:t xml:space="preserve">1385 and 1473.7; dismissing the proceeding; and sealing the entire record.  One week later, the judge issued the amended order that excluded three documents from the sealing order (our 2023 Opinion; </w:t>
      </w:r>
      <w:r w:rsidR="00443304">
        <w:t>a</w:t>
      </w:r>
      <w:r w:rsidR="006F25FE" w:rsidRPr="006F25FE">
        <w:t xml:space="preserve"> public </w:t>
      </w:r>
      <w:r w:rsidR="006F25FE" w:rsidRPr="006F25FE">
        <w:lastRenderedPageBreak/>
        <w:t xml:space="preserve">sealing order; and </w:t>
      </w:r>
      <w:r w:rsidR="00443304">
        <w:t>a</w:t>
      </w:r>
      <w:r w:rsidR="00443304" w:rsidRPr="006F25FE">
        <w:t xml:space="preserve"> </w:t>
      </w:r>
      <w:r w:rsidR="006F25FE" w:rsidRPr="006F25FE">
        <w:t xml:space="preserve">second amended public sealing order) and referred the matter to us to determine if our 2023 Opinion should be </w:t>
      </w:r>
      <w:proofErr w:type="spellStart"/>
      <w:r w:rsidR="006F25FE" w:rsidRPr="006F25FE">
        <w:t>depublished</w:t>
      </w:r>
      <w:proofErr w:type="spellEnd"/>
      <w:r w:rsidR="006F25FE" w:rsidRPr="006F25FE">
        <w:t xml:space="preserve"> and sealed.</w:t>
      </w:r>
    </w:p>
    <w:p w14:paraId="7A58AC48" w14:textId="77777777" w:rsidR="006F25FE" w:rsidRPr="006F25FE" w:rsidRDefault="006F25FE" w:rsidP="006F25FE">
      <w:pPr>
        <w:pStyle w:val="Heading2"/>
      </w:pPr>
      <w:r w:rsidRPr="006F25FE">
        <w:t>OCTC’s Arguments on Appeal are Rejected</w:t>
      </w:r>
    </w:p>
    <w:p w14:paraId="36D637C0" w14:textId="77777777" w:rsidR="006F25FE" w:rsidRPr="006F25FE" w:rsidRDefault="006F25FE" w:rsidP="006F25FE">
      <w:pPr>
        <w:pStyle w:val="Heading3"/>
      </w:pPr>
      <w:r w:rsidRPr="006F25FE">
        <w:t>Hearing Judge’s Authority or Jurisdiction to Consider Motion</w:t>
      </w:r>
    </w:p>
    <w:p w14:paraId="53258250" w14:textId="5C3CE4D8" w:rsidR="006F25FE" w:rsidRPr="006F25FE" w:rsidRDefault="006F25FE" w:rsidP="006F25FE">
      <w:pPr>
        <w:ind w:firstLine="720"/>
      </w:pPr>
      <w:r w:rsidRPr="006F25FE">
        <w:t xml:space="preserve">OCTC contends that the hearing judge had no authority or jurisdiction to consider </w:t>
      </w:r>
      <w:r w:rsidR="00101B3C">
        <w:t>respondent’s</w:t>
      </w:r>
      <w:r w:rsidR="00101B3C" w:rsidRPr="006F25FE">
        <w:t xml:space="preserve"> </w:t>
      </w:r>
      <w:r w:rsidRPr="006F25FE">
        <w:t xml:space="preserve">motion following the summary denial by the California Supreme Court of </w:t>
      </w:r>
      <w:r w:rsidR="00101B3C">
        <w:t>his</w:t>
      </w:r>
      <w:r w:rsidR="00101B3C" w:rsidRPr="006F25FE">
        <w:t xml:space="preserve"> </w:t>
      </w:r>
      <w:r w:rsidRPr="006F25FE">
        <w:t>petition for review and that his discipline (i.e., the order of public reproval) became final at that point.</w:t>
      </w:r>
      <w:r w:rsidRPr="006F25FE">
        <w:rPr>
          <w:vertAlign w:val="superscript"/>
        </w:rPr>
        <w:footnoteReference w:id="18"/>
      </w:r>
      <w:r w:rsidRPr="006F25FE">
        <w:t xml:space="preserve">  OCTC makes two arguments to support its contention.  First, it argues that the State Bar Court lost jurisdiction to further adjudicate the matter</w:t>
      </w:r>
      <w:r w:rsidRPr="006F25FE">
        <w:rPr>
          <w:vertAlign w:val="superscript"/>
        </w:rPr>
        <w:footnoteReference w:id="19"/>
      </w:r>
      <w:r w:rsidRPr="006F25FE">
        <w:t xml:space="preserve"> after the Supreme Court’s summary denial and that the State Bar Court cannot entertain </w:t>
      </w:r>
      <w:r w:rsidR="000F77C5">
        <w:t>respondent’s</w:t>
      </w:r>
      <w:r w:rsidR="000F77C5" w:rsidRPr="006F25FE">
        <w:t xml:space="preserve"> </w:t>
      </w:r>
      <w:r w:rsidRPr="006F25FE">
        <w:t xml:space="preserve">collateral attack on his now final discipline, citing to </w:t>
      </w:r>
      <w:r w:rsidRPr="006F25FE">
        <w:rPr>
          <w:i/>
          <w:iCs/>
        </w:rPr>
        <w:t>In the Matter of Peterson</w:t>
      </w:r>
      <w:r w:rsidRPr="006F25FE">
        <w:t xml:space="preserve"> (Review Dept. 1990) 1 Cal. State Bar Ct. Rptr. 83.  This case does not support OCTC’s position when carefully considered.  In </w:t>
      </w:r>
      <w:r w:rsidRPr="006F25FE">
        <w:rPr>
          <w:i/>
          <w:iCs/>
        </w:rPr>
        <w:t>Peterson</w:t>
      </w:r>
      <w:r w:rsidRPr="006F25FE">
        <w:t>, we determined that, until the record has been transmitted to the Supreme Court pursuant to section 6081, we retain jurisdiction over a disciplinary matter.  (</w:t>
      </w:r>
      <w:r w:rsidRPr="006F25FE">
        <w:rPr>
          <w:i/>
          <w:iCs/>
        </w:rPr>
        <w:t>Id</w:t>
      </w:r>
      <w:r w:rsidRPr="006F25FE">
        <w:t>. at p. 85.)</w:t>
      </w:r>
      <w:r w:rsidRPr="006F25FE">
        <w:rPr>
          <w:i/>
          <w:iCs/>
        </w:rPr>
        <w:t xml:space="preserve"> </w:t>
      </w:r>
      <w:r w:rsidRPr="006F25FE">
        <w:t xml:space="preserve"> Further, under section 6081, only “[u]</w:t>
      </w:r>
      <w:proofErr w:type="spellStart"/>
      <w:r w:rsidRPr="006F25FE">
        <w:t>pon</w:t>
      </w:r>
      <w:proofErr w:type="spellEnd"/>
      <w:r w:rsidRPr="006F25FE">
        <w:t xml:space="preserve"> the making of any decision recommending the disbarment or suspension” of an attorney is the matter transmitted to the Supreme Court.  Therefore, for a </w:t>
      </w:r>
      <w:r w:rsidRPr="006F25FE">
        <w:lastRenderedPageBreak/>
        <w:t>reproval matter</w:t>
      </w:r>
      <w:r w:rsidRPr="006F25FE">
        <w:rPr>
          <w:vertAlign w:val="superscript"/>
        </w:rPr>
        <w:footnoteReference w:id="20"/>
      </w:r>
      <w:r w:rsidRPr="006F25FE">
        <w:t xml:space="preserve"> that has been appealed by a petition for review to the Supreme Court, the matter remains under our jurisdiction</w:t>
      </w:r>
      <w:r w:rsidR="00BF6B78">
        <w:t>,</w:t>
      </w:r>
      <w:r w:rsidRPr="006F25FE">
        <w:t xml:space="preserve"> at least until the Supreme Court has granted review and ordered the file to be transmitted.  Here, only a summary denial of </w:t>
      </w:r>
      <w:r w:rsidR="00E225B4">
        <w:t>respondent’s</w:t>
      </w:r>
      <w:r w:rsidR="00656B07" w:rsidRPr="006F25FE">
        <w:t xml:space="preserve"> </w:t>
      </w:r>
      <w:r w:rsidRPr="006F25FE">
        <w:t xml:space="preserve">petition occurred, and thus, we conclude that the State Bar Court never lost jurisdiction in this matter.  We likewise disagree with OCTC’s related point that </w:t>
      </w:r>
      <w:r w:rsidR="00656B07">
        <w:t>respondent</w:t>
      </w:r>
      <w:r w:rsidR="00656B07" w:rsidRPr="006F25FE">
        <w:t xml:space="preserve"> </w:t>
      </w:r>
      <w:r w:rsidRPr="006F25FE">
        <w:t xml:space="preserve">is attempting an impermissible collateral attack on an order of the California Supreme Court as occurred in </w:t>
      </w:r>
      <w:r w:rsidRPr="006F25FE">
        <w:rPr>
          <w:i/>
          <w:iCs/>
        </w:rPr>
        <w:t xml:space="preserve">In the Matter of Rodriguez </w:t>
      </w:r>
      <w:r w:rsidRPr="006F25FE">
        <w:t xml:space="preserve">(Review Dept. 1993) 2 Cal. Bar Ct. Rptr. 480.  In that case, an attorney was seeking to have his prior two-year suspension, which had been ordered by the Supreme Court, not considered as aggravation in a subsequent discipline matter where he claimed his prior suspension was based on one matter </w:t>
      </w:r>
      <w:r w:rsidR="00392691">
        <w:t>that</w:t>
      </w:r>
      <w:r w:rsidRPr="006F25FE">
        <w:t xml:space="preserve"> would have been time-barred.  (</w:t>
      </w:r>
      <w:r w:rsidRPr="006F25FE">
        <w:rPr>
          <w:i/>
          <w:iCs/>
        </w:rPr>
        <w:t>Id</w:t>
      </w:r>
      <w:r w:rsidRPr="006F25FE">
        <w:t>. at pp.</w:t>
      </w:r>
      <w:r w:rsidRPr="006F25FE">
        <w:rPr>
          <w:i/>
          <w:iCs/>
        </w:rPr>
        <w:t xml:space="preserve"> </w:t>
      </w:r>
      <w:r w:rsidRPr="006F25FE">
        <w:t>499-500.)  Here, no discipline order has been issued by the Supreme Court; therefore, we see no collateral attack as OCTC claims.</w:t>
      </w:r>
      <w:r w:rsidRPr="006F25FE">
        <w:rPr>
          <w:vertAlign w:val="superscript"/>
        </w:rPr>
        <w:footnoteReference w:id="21"/>
      </w:r>
      <w:r w:rsidRPr="006F25FE">
        <w:t xml:space="preserve">  </w:t>
      </w:r>
    </w:p>
    <w:p w14:paraId="61050E6D" w14:textId="0259F968" w:rsidR="006F25FE" w:rsidRPr="006F25FE" w:rsidRDefault="006F25FE" w:rsidP="006F25FE">
      <w:pPr>
        <w:ind w:firstLine="720"/>
      </w:pPr>
      <w:r w:rsidRPr="006F25FE">
        <w:t xml:space="preserve">OCTC’s second argument is that we are precluded from considering the effect of Penal Code sections 1385 and 1473.7 on </w:t>
      </w:r>
      <w:r w:rsidR="00A11BB3">
        <w:t>respondent’s</w:t>
      </w:r>
      <w:r w:rsidR="00A11BB3" w:rsidRPr="006F25FE">
        <w:t xml:space="preserve"> </w:t>
      </w:r>
      <w:r w:rsidRPr="006F25FE">
        <w:t xml:space="preserve">public reproval order because the California Supreme Court is presumed to have considered such issue in </w:t>
      </w:r>
      <w:r w:rsidR="001723D7">
        <w:t xml:space="preserve">its </w:t>
      </w:r>
      <w:r w:rsidRPr="006F25FE">
        <w:t xml:space="preserve">2023 summary denial of </w:t>
      </w:r>
      <w:r w:rsidR="00A11BB3">
        <w:t>respondent’s</w:t>
      </w:r>
      <w:r w:rsidRPr="006F25FE">
        <w:t xml:space="preserve"> petition for review.  We also disagree with OCTC here for the reasons expressed below.  </w:t>
      </w:r>
    </w:p>
    <w:p w14:paraId="1A0763DC" w14:textId="518E5F5B" w:rsidR="006F25FE" w:rsidRPr="006F25FE" w:rsidRDefault="006F25FE" w:rsidP="006F25FE">
      <w:pPr>
        <w:ind w:firstLine="720"/>
      </w:pPr>
      <w:r w:rsidRPr="006F25FE">
        <w:lastRenderedPageBreak/>
        <w:t xml:space="preserve">OCTC argues that the summary denial of </w:t>
      </w:r>
      <w:r w:rsidR="00BF07A1">
        <w:t>respondent’s</w:t>
      </w:r>
      <w:r w:rsidR="00BF07A1" w:rsidRPr="006F25FE">
        <w:t xml:space="preserve"> </w:t>
      </w:r>
      <w:r w:rsidRPr="006F25FE">
        <w:t xml:space="preserve">petition constituted a final judicial determination of the merits by the California Supreme Court, which, it emphasizes, includes the factual innocence finding it presented in its response to </w:t>
      </w:r>
      <w:r w:rsidR="00BF07A1">
        <w:t>respondent’s</w:t>
      </w:r>
      <w:r w:rsidR="00BF07A1" w:rsidRPr="006F25FE">
        <w:t xml:space="preserve"> </w:t>
      </w:r>
      <w:r w:rsidRPr="006F25FE">
        <w:t xml:space="preserve">petition for review.  (Cal. Rules of Court, rule 9.16(b); See </w:t>
      </w:r>
      <w:r w:rsidRPr="006F25FE">
        <w:rPr>
          <w:i/>
          <w:iCs/>
        </w:rPr>
        <w:t>In re Rose</w:t>
      </w:r>
      <w:r w:rsidRPr="006F25FE">
        <w:t xml:space="preserve"> (2000) 22 Cal.4th 430, 446 [because of its original jurisdiction to discipline attorneys, summary denial of petition for review by Supreme Court “amounts to an exercise of [its] jurisdiction and a judicial determination on the merits”].)  OCTC </w:t>
      </w:r>
      <w:r w:rsidR="00185177">
        <w:t xml:space="preserve">also claims </w:t>
      </w:r>
      <w:r w:rsidRPr="006F25FE">
        <w:t xml:space="preserve">that, because </w:t>
      </w:r>
      <w:r w:rsidR="00BF07A1">
        <w:t>respondent’s</w:t>
      </w:r>
      <w:r w:rsidR="00BF07A1" w:rsidRPr="006F25FE">
        <w:t xml:space="preserve"> </w:t>
      </w:r>
      <w:r w:rsidRPr="006F25FE">
        <w:t xml:space="preserve">factual innocence finding was presented to the Supreme Court in its response to the petition for review by attaching the superior court order to it, the Supreme Court “is properly presumed to have exercised its review process and powers” in review of the superior court order.  Therefore, OCTC argues, we should conclude that the Supreme Court considered the superior court order and that it can have no further effect on </w:t>
      </w:r>
      <w:r w:rsidR="00DF59F9">
        <w:t>respondent’s</w:t>
      </w:r>
      <w:r w:rsidR="00DF59F9" w:rsidRPr="006F25FE">
        <w:t xml:space="preserve"> </w:t>
      </w:r>
      <w:r w:rsidRPr="006F25FE">
        <w:t xml:space="preserve">discipline—the summary denial has become the “law of the case,” and we are bound to follow that conclusion under stare decisis.  In his responsive memorandum, </w:t>
      </w:r>
      <w:r w:rsidR="00DF59F9">
        <w:t>respondent</w:t>
      </w:r>
      <w:r w:rsidR="00DF59F9" w:rsidRPr="006F25FE">
        <w:t xml:space="preserve"> </w:t>
      </w:r>
      <w:r w:rsidRPr="006F25FE">
        <w:t>counters that the Supreme Court’s consideration of his petition for review could not have included the superior court order because (1)</w:t>
      </w:r>
      <w:r w:rsidR="004D5B10">
        <w:t> </w:t>
      </w:r>
      <w:r w:rsidRPr="006F25FE">
        <w:t>the superior court order did not exist at the time he filed his petition for review in the Supreme Court; (2)</w:t>
      </w:r>
      <w:r w:rsidR="004D5B10">
        <w:t> </w:t>
      </w:r>
      <w:r w:rsidRPr="006F25FE">
        <w:t>the superior court order was never judicially noticed by the Supreme Court, and, therefore, consideration of it would</w:t>
      </w:r>
      <w:r w:rsidR="00182834">
        <w:t xml:space="preserve"> have</w:t>
      </w:r>
      <w:r w:rsidRPr="006F25FE">
        <w:t xml:space="preserve"> violated the California Rules of Court; and (3) based on case law, the Supreme Court’s review could have only been regarding the merits of his petition </w:t>
      </w:r>
      <w:proofErr w:type="spellStart"/>
      <w:r w:rsidRPr="006F25FE">
        <w:t>as</w:t>
      </w:r>
      <w:proofErr w:type="spellEnd"/>
      <w:r w:rsidRPr="006F25FE">
        <w:t xml:space="preserve"> filed</w:t>
      </w:r>
      <w:r w:rsidR="004D5B10">
        <w:t>,</w:t>
      </w:r>
      <w:r w:rsidRPr="006F25FE">
        <w:t xml:space="preserve"> and not the superior court order </w:t>
      </w:r>
      <w:r w:rsidR="00BF6B78">
        <w:t xml:space="preserve">that was </w:t>
      </w:r>
      <w:r w:rsidRPr="006F25FE">
        <w:t>raised by OCTC in its response.</w:t>
      </w:r>
    </w:p>
    <w:p w14:paraId="288EB6DB" w14:textId="15EA134E" w:rsidR="006F25FE" w:rsidRPr="006F25FE" w:rsidRDefault="006F25FE" w:rsidP="006F25FE">
      <w:pPr>
        <w:ind w:firstLine="720"/>
      </w:pPr>
      <w:r w:rsidRPr="006F25FE">
        <w:t xml:space="preserve">We agree with </w:t>
      </w:r>
      <w:r w:rsidR="00E76B68">
        <w:t>respondent’s</w:t>
      </w:r>
      <w:r w:rsidR="00E76B68" w:rsidRPr="006F25FE">
        <w:t xml:space="preserve"> </w:t>
      </w:r>
      <w:r w:rsidRPr="006F25FE">
        <w:t xml:space="preserve">points as set forth in his responsive memorandum.  First, </w:t>
      </w:r>
      <w:r w:rsidR="00E76B68">
        <w:t>respondent’s</w:t>
      </w:r>
      <w:r w:rsidR="00E76B68" w:rsidRPr="006F25FE">
        <w:t xml:space="preserve"> </w:t>
      </w:r>
      <w:r w:rsidRPr="006F25FE">
        <w:t xml:space="preserve">petition for review was filed in the California Supreme Court </w:t>
      </w:r>
      <w:r w:rsidR="00F82B82">
        <w:t>more than two weeks before</w:t>
      </w:r>
      <w:r w:rsidRPr="006F25FE">
        <w:t xml:space="preserve"> the superior court dismissed his conviction under Penal Code sections 1385 and 1473.7.  Thus, </w:t>
      </w:r>
      <w:r w:rsidR="00F82B82">
        <w:t>respondent</w:t>
      </w:r>
      <w:r w:rsidR="00F82B82" w:rsidRPr="006F25FE">
        <w:t xml:space="preserve"> </w:t>
      </w:r>
      <w:r w:rsidRPr="006F25FE">
        <w:t xml:space="preserve">could not have raised it in his petition.  Next, while the State Bar may have </w:t>
      </w:r>
      <w:r w:rsidRPr="006F25FE">
        <w:lastRenderedPageBreak/>
        <w:t xml:space="preserve">attached the superior court order to its response filed in the Supreme Court, we see no evidence of a request to the Supreme Court for judicial notice of the superior court order prior to the Supreme Court issuing its summary denial.  Without a request for judicial notice of the superior court order as required by </w:t>
      </w:r>
      <w:r w:rsidR="00EA59F6">
        <w:t>rule </w:t>
      </w:r>
      <w:r w:rsidRPr="006F25FE">
        <w:t xml:space="preserve">8.252 of the California Rules of Court or an indication in the summary denial that the Supreme Court took judicial notice on its own accord of the superior court order, we are reluctant to assume that the Supreme Court considered it as argued by OCTC.  Finally, we agree with </w:t>
      </w:r>
      <w:r w:rsidR="00D41A53">
        <w:t>respondent</w:t>
      </w:r>
      <w:r w:rsidR="00D41A53" w:rsidRPr="006F25FE">
        <w:t xml:space="preserve"> </w:t>
      </w:r>
      <w:r w:rsidRPr="006F25FE">
        <w:t>that, for a summary denial to have a preclusive effect on us, an issue must have been raised in the petition itself to the Supreme Court</w:t>
      </w:r>
      <w:r w:rsidRPr="006F25FE">
        <w:rPr>
          <w:vertAlign w:val="superscript"/>
        </w:rPr>
        <w:footnoteReference w:id="22"/>
      </w:r>
      <w:r w:rsidRPr="006F25FE">
        <w:t xml:space="preserve"> </w:t>
      </w:r>
      <w:r w:rsidR="003D354F">
        <w:t xml:space="preserve">and, </w:t>
      </w:r>
      <w:r w:rsidRPr="006F25FE">
        <w:t xml:space="preserve">more importantly, that the issue, here the effect of Penal Code sections 1385 and 1473.7 on </w:t>
      </w:r>
      <w:r w:rsidR="00D41A53">
        <w:t>respondent’s</w:t>
      </w:r>
      <w:r w:rsidR="00D41A53" w:rsidRPr="006F25FE">
        <w:t xml:space="preserve"> </w:t>
      </w:r>
      <w:r w:rsidRPr="006F25FE">
        <w:t xml:space="preserve">public reproval order, </w:t>
      </w:r>
      <w:r w:rsidR="00D51EF6">
        <w:t xml:space="preserve">must have been first </w:t>
      </w:r>
      <w:r w:rsidRPr="006F25FE">
        <w:t xml:space="preserve">considered by the State Bar Court prior to review by the Supreme Court.  (See </w:t>
      </w:r>
      <w:r w:rsidRPr="006F25FE">
        <w:rPr>
          <w:i/>
          <w:iCs/>
        </w:rPr>
        <w:t>In re Rose</w:t>
      </w:r>
      <w:r w:rsidRPr="006F25FE">
        <w:t xml:space="preserve">, </w:t>
      </w:r>
      <w:r w:rsidRPr="006F25FE">
        <w:rPr>
          <w:i/>
          <w:iCs/>
        </w:rPr>
        <w:t>supra</w:t>
      </w:r>
      <w:r w:rsidRPr="006F25FE">
        <w:t>, 22</w:t>
      </w:r>
      <w:r w:rsidR="004D5B10">
        <w:t> </w:t>
      </w:r>
      <w:r w:rsidRPr="006F25FE">
        <w:t>Cal.4th at pp. 442-443 [in attorney discipline matters, because Supreme Court utilizes State Bar Court “to conduct</w:t>
      </w:r>
      <w:r w:rsidR="004D5B10">
        <w:t xml:space="preserve"> the</w:t>
      </w:r>
      <w:r w:rsidRPr="006F25FE">
        <w:t xml:space="preserve"> preliminary investigation, hearing, and determination of complaints,” Supreme Court’s summary denial is based on review of State Bar Court proceedings].)</w:t>
      </w:r>
      <w:r w:rsidRPr="006F25FE">
        <w:rPr>
          <w:vertAlign w:val="superscript"/>
        </w:rPr>
        <w:footnoteReference w:id="23"/>
      </w:r>
      <w:r w:rsidRPr="006F25FE">
        <w:t xml:space="preserve">  Therefore, the summary denial was not an adjudication that dealt with the </w:t>
      </w:r>
      <w:r w:rsidR="00AC6590">
        <w:t>earlier</w:t>
      </w:r>
      <w:r w:rsidRPr="006F25FE">
        <w:t xml:space="preserve"> superior court order or amounted to a final determination of discipline</w:t>
      </w:r>
      <w:r w:rsidR="00C3725F">
        <w:t xml:space="preserve"> because</w:t>
      </w:r>
      <w:r w:rsidRPr="006F25FE">
        <w:t xml:space="preserve"> </w:t>
      </w:r>
      <w:r w:rsidR="00AC6590">
        <w:t>respondent’s</w:t>
      </w:r>
      <w:r w:rsidR="00AC6590" w:rsidRPr="006F25FE">
        <w:t xml:space="preserve"> </w:t>
      </w:r>
      <w:r w:rsidRPr="006F25FE">
        <w:t>petition appealed our 2023 Opinion denying his request to withdraw from his stipulation, which did not consider the superior court order.</w:t>
      </w:r>
    </w:p>
    <w:p w14:paraId="3CE8491C" w14:textId="77777777" w:rsidR="006F25FE" w:rsidRPr="006F25FE" w:rsidRDefault="006F25FE" w:rsidP="00252E6E">
      <w:pPr>
        <w:pStyle w:val="Heading3"/>
      </w:pPr>
      <w:r w:rsidRPr="006F25FE">
        <w:lastRenderedPageBreak/>
        <w:t>Hearing Judge’s Authority to Vacate the Public Reproval Order and Dismiss the Proceeding</w:t>
      </w:r>
    </w:p>
    <w:p w14:paraId="416399B5" w14:textId="23D89872" w:rsidR="006F25FE" w:rsidRPr="006F25FE" w:rsidRDefault="006F25FE" w:rsidP="006F25FE">
      <w:pPr>
        <w:ind w:firstLine="720"/>
      </w:pPr>
      <w:r w:rsidRPr="006F25FE">
        <w:t xml:space="preserve">OCTC argues that “nothing in Penal Code sections 1385 or 1473.7 suggests that a dismissal or vacation of a criminal conviction under those provisions also vacates professional discipline independently obtained. . . . This makes sense as attorney discipline is based upon the </w:t>
      </w:r>
      <w:r w:rsidRPr="006F25FE">
        <w:rPr>
          <w:i/>
          <w:iCs/>
        </w:rPr>
        <w:t>conduct</w:t>
      </w:r>
      <w:r w:rsidRPr="006F25FE">
        <w:t xml:space="preserve"> committed by the attorney.”  We disagree with OCTC’s legal analysis, at least in the context of this disciplinary proceeding.  </w:t>
      </w:r>
    </w:p>
    <w:p w14:paraId="250C8EE5" w14:textId="7088E4FF" w:rsidR="006F25FE" w:rsidRPr="006F25FE" w:rsidRDefault="006F25FE" w:rsidP="006F25FE">
      <w:pPr>
        <w:ind w:firstLine="720"/>
      </w:pPr>
      <w:r w:rsidRPr="006F25FE">
        <w:t xml:space="preserve">At the outset, we agree case law </w:t>
      </w:r>
      <w:r w:rsidR="00F707A9">
        <w:t>requires</w:t>
      </w:r>
      <w:r w:rsidRPr="006F25FE">
        <w:t xml:space="preserve">, in </w:t>
      </w:r>
      <w:r w:rsidR="00082012">
        <w:t xml:space="preserve">a </w:t>
      </w:r>
      <w:r w:rsidRPr="006F25FE">
        <w:t xml:space="preserve">criminal conviction referral </w:t>
      </w:r>
      <w:r w:rsidR="00BE3044">
        <w:t>proceeding</w:t>
      </w:r>
      <w:r w:rsidRPr="006F25FE">
        <w:t xml:space="preserve">, </w:t>
      </w:r>
      <w:r w:rsidR="00BF1482">
        <w:t xml:space="preserve">that </w:t>
      </w:r>
      <w:r w:rsidRPr="006F25FE">
        <w:t>we look to an attorney’s misconduct and not the conviction when determining the appropriate discipline to recommend (</w:t>
      </w:r>
      <w:r w:rsidRPr="006F25FE">
        <w:rPr>
          <w:i/>
        </w:rPr>
        <w:t>In re Gross</w:t>
      </w:r>
      <w:r w:rsidRPr="006F25FE">
        <w:t xml:space="preserve"> (1983) 33 Cal.3d 561</w:t>
      </w:r>
      <w:r w:rsidR="008A360C">
        <w:t>, 566</w:t>
      </w:r>
      <w:r w:rsidRPr="006F25FE">
        <w:t>), but here we do not now have a criminal conviction that could be the basis of a proceeding under section</w:t>
      </w:r>
      <w:r w:rsidR="009838E7">
        <w:t> </w:t>
      </w:r>
      <w:r w:rsidRPr="006F25FE">
        <w:t>6101, subdivision (a).</w:t>
      </w:r>
      <w:r w:rsidRPr="006F25FE">
        <w:rPr>
          <w:vertAlign w:val="superscript"/>
        </w:rPr>
        <w:footnoteReference w:id="24"/>
      </w:r>
      <w:r w:rsidRPr="006F25FE">
        <w:t xml:space="preserve">  As the hearing judge discussed in her order and amended order, expungement under Penal Code section 1203.4 is unlike a dismissal under Penal Code section 1385.  As stated in </w:t>
      </w:r>
      <w:r w:rsidRPr="006F25FE">
        <w:rPr>
          <w:i/>
          <w:iCs/>
        </w:rPr>
        <w:t>People v. Barro</w:t>
      </w:r>
      <w:r w:rsidRPr="006F25FE">
        <w:t xml:space="preserve"> (2001) 93 Cal.App.4th 62, the language of Penal Code section</w:t>
      </w:r>
      <w:r w:rsidR="009838E7">
        <w:t> </w:t>
      </w:r>
      <w:r w:rsidRPr="006F25FE">
        <w:t xml:space="preserve">1203.4 simply removes “all penalties and disabilities resulting from the offense of which he or she has been </w:t>
      </w:r>
      <w:r w:rsidRPr="006F25FE">
        <w:rPr>
          <w:i/>
          <w:iCs/>
        </w:rPr>
        <w:t xml:space="preserve">convicted </w:t>
      </w:r>
      <w:r w:rsidRPr="006F25FE">
        <w:t>. . . .”  (</w:t>
      </w:r>
      <w:r w:rsidRPr="006F25FE">
        <w:rPr>
          <w:i/>
          <w:iCs/>
        </w:rPr>
        <w:t>Id</w:t>
      </w:r>
      <w:r w:rsidRPr="006F25FE">
        <w:t xml:space="preserve">. at p. 66, italics added.)  Under Penal Code section 1203.4, the conviction remains and therefore </w:t>
      </w:r>
      <w:r w:rsidR="00735522">
        <w:t>respondent’s</w:t>
      </w:r>
      <w:r w:rsidR="00735522" w:rsidRPr="006F25FE">
        <w:t xml:space="preserve"> </w:t>
      </w:r>
      <w:r w:rsidRPr="006F25FE">
        <w:t>conviction referral matter was still procedurally proper</w:t>
      </w:r>
      <w:r w:rsidR="00AF32D7">
        <w:t>,</w:t>
      </w:r>
      <w:r w:rsidRPr="006F25FE">
        <w:t xml:space="preserve"> and the resulting discipline remained in place as discussed in our 2023 Opinion.  Now, </w:t>
      </w:r>
      <w:r w:rsidR="00735522">
        <w:t>respondent</w:t>
      </w:r>
      <w:r w:rsidR="00735522" w:rsidRPr="006F25FE">
        <w:t xml:space="preserve"> </w:t>
      </w:r>
      <w:r w:rsidRPr="006F25FE">
        <w:t xml:space="preserve">has obtained something quite different.  As discussed further in </w:t>
      </w:r>
      <w:r w:rsidRPr="006F25FE">
        <w:rPr>
          <w:i/>
          <w:iCs/>
        </w:rPr>
        <w:t>Barro</w:t>
      </w:r>
      <w:r w:rsidRPr="006F25FE">
        <w:t xml:space="preserve">, “decisional authority supports the conclusion that the effect of a dismissal under [Penal Code] section 1385 is </w:t>
      </w:r>
      <w:r w:rsidRPr="006F25FE">
        <w:rPr>
          <w:i/>
          <w:iCs/>
        </w:rPr>
        <w:t>to wipe the slate clean</w:t>
      </w:r>
      <w:r w:rsidRPr="006F25FE">
        <w:t xml:space="preserve"> as if the defendant never suffered the prior conviction in the initial instance.  In </w:t>
      </w:r>
      <w:r w:rsidRPr="006F25FE">
        <w:lastRenderedPageBreak/>
        <w:t xml:space="preserve">other words, ‘[t]he defendant stands </w:t>
      </w:r>
      <w:r w:rsidRPr="006F25FE">
        <w:rPr>
          <w:i/>
          <w:iCs/>
        </w:rPr>
        <w:t>as if he had never been prosecuted for the charged offense</w:t>
      </w:r>
      <w:r w:rsidRPr="006F25FE">
        <w:t>.  [Citation.]’”  (</w:t>
      </w:r>
      <w:r w:rsidRPr="006F25FE">
        <w:rPr>
          <w:i/>
          <w:iCs/>
        </w:rPr>
        <w:t>Id</w:t>
      </w:r>
      <w:r w:rsidRPr="006F25FE">
        <w:t xml:space="preserve">. at p. 67, italics added.)  Now that no criminal conviction ever existed, the underlying authority under section 6101, </w:t>
      </w:r>
      <w:r w:rsidR="00852EE6">
        <w:t xml:space="preserve">subdivision </w:t>
      </w:r>
      <w:r w:rsidR="004B1CF7">
        <w:t xml:space="preserve">(a), </w:t>
      </w:r>
      <w:r w:rsidRPr="006F25FE">
        <w:t xml:space="preserve">which is the sole basis of </w:t>
      </w:r>
      <w:r w:rsidR="005E6AB5">
        <w:t>respondent’s</w:t>
      </w:r>
      <w:r w:rsidR="005E6AB5" w:rsidRPr="006F25FE">
        <w:t xml:space="preserve"> </w:t>
      </w:r>
      <w:r w:rsidRPr="006F25FE">
        <w:t>discipline proceeding,</w:t>
      </w:r>
      <w:r w:rsidRPr="006F25FE">
        <w:rPr>
          <w:vertAlign w:val="superscript"/>
        </w:rPr>
        <w:footnoteReference w:id="25"/>
      </w:r>
      <w:r w:rsidRPr="006F25FE">
        <w:t xml:space="preserve"> no longer exists as well.  (See Cal. Rules of Court, </w:t>
      </w:r>
      <w:r w:rsidR="00EA59F6">
        <w:t>rule </w:t>
      </w:r>
      <w:r w:rsidRPr="006F25FE">
        <w:t xml:space="preserve">9.10(a) [State Bar Court’s delegated authority to hear conviction referral matters necessarily requires existence of criminal conviction].)  </w:t>
      </w:r>
    </w:p>
    <w:p w14:paraId="6DD2AE5F" w14:textId="0BD5DB76" w:rsidR="006F25FE" w:rsidRPr="006F25FE" w:rsidRDefault="006F25FE" w:rsidP="006F25FE">
      <w:pPr>
        <w:ind w:firstLine="720"/>
      </w:pPr>
      <w:r w:rsidRPr="006F25FE">
        <w:t>Notwithstanding OCTC’s assertion that standard 1.1 of the Rules of Procedure of the State Bar, title IV, Standards for Attorney Sanctions for Professional Misconduct</w:t>
      </w:r>
      <w:r w:rsidRPr="006F25FE">
        <w:rPr>
          <w:vertAlign w:val="superscript"/>
        </w:rPr>
        <w:footnoteReference w:id="26"/>
      </w:r>
      <w:r w:rsidRPr="006F25FE">
        <w:t xml:space="preserve"> fails to support the hearing judge’s actions, we conclude that </w:t>
      </w:r>
      <w:r w:rsidRPr="006F25FE">
        <w:rPr>
          <w:i/>
          <w:iCs/>
        </w:rPr>
        <w:t>Barro</w:t>
      </w:r>
      <w:r w:rsidRPr="006F25FE">
        <w:t xml:space="preserve">, in conjunction with section 6101, </w:t>
      </w:r>
      <w:r w:rsidR="001A349B">
        <w:t xml:space="preserve">subdivision (a), </w:t>
      </w:r>
      <w:r w:rsidRPr="006F25FE">
        <w:t xml:space="preserve">requires us to uphold the judge’s conclusions, as expressed in both the original order and amended order, which were based “in the interests of justice.”  Further quoting the judge, we too “fail to see how the purposes of attorney discipline are served by preserving this prior discipline based entirely on a now-voided conviction.”  Contrary to OCTC’s argument, we find no sound policy reason to reverse the judge’s original order and amended order as OCTC </w:t>
      </w:r>
      <w:r w:rsidR="00FF236D">
        <w:t xml:space="preserve">has </w:t>
      </w:r>
      <w:r w:rsidRPr="006F25FE">
        <w:t>argue</w:t>
      </w:r>
      <w:r w:rsidR="00FF236D">
        <w:t>d</w:t>
      </w:r>
      <w:r w:rsidRPr="006F25FE">
        <w:t xml:space="preserve">.  Based upon our review of the record, we certainly do not subscribe to OCTC’s </w:t>
      </w:r>
      <w:r w:rsidR="00F24C37">
        <w:t xml:space="preserve">bald </w:t>
      </w:r>
      <w:r w:rsidRPr="006F25FE">
        <w:t xml:space="preserve">assertion that “this dramatic . . . action [will] open the floodgates for attorneys . . . .”  We find unpersuasive OCTC’s arguments, as presented in </w:t>
      </w:r>
      <w:r w:rsidR="00F248BC">
        <w:t>its</w:t>
      </w:r>
      <w:r w:rsidRPr="006F25FE">
        <w:t xml:space="preserve"> briefs, that the judge lacked authority to </w:t>
      </w:r>
      <w:r w:rsidRPr="006F25FE">
        <w:lastRenderedPageBreak/>
        <w:t xml:space="preserve">consider </w:t>
      </w:r>
      <w:r w:rsidR="005E6AB5">
        <w:t>respondent’s</w:t>
      </w:r>
      <w:r w:rsidR="005E6AB5" w:rsidRPr="006F25FE">
        <w:t xml:space="preserve"> </w:t>
      </w:r>
      <w:r w:rsidRPr="006F25FE">
        <w:t>2023 motion or that she lacked authority to vacate the 2019 public reproval order and dismiss the proceeding.</w:t>
      </w:r>
      <w:r w:rsidRPr="006F25FE">
        <w:rPr>
          <w:vertAlign w:val="superscript"/>
        </w:rPr>
        <w:footnoteReference w:id="27"/>
      </w:r>
    </w:p>
    <w:p w14:paraId="467861C8" w14:textId="77777777" w:rsidR="006F25FE" w:rsidRPr="006F25FE" w:rsidRDefault="006F25FE" w:rsidP="00252E6E">
      <w:pPr>
        <w:pStyle w:val="Heading3"/>
      </w:pPr>
      <w:r w:rsidRPr="006F25FE">
        <w:t xml:space="preserve">Hearing Judge’s Authority to Seal Records </w:t>
      </w:r>
    </w:p>
    <w:p w14:paraId="134C0575" w14:textId="00039FA2" w:rsidR="006F25FE" w:rsidRPr="006F25FE" w:rsidRDefault="006F25FE" w:rsidP="006F25FE">
      <w:pPr>
        <w:ind w:firstLine="720"/>
      </w:pPr>
      <w:r w:rsidRPr="006F25FE">
        <w:t xml:space="preserve">The hearing judge ordered the court clerk to seal the entire record in this proceeding pursuant to </w:t>
      </w:r>
      <w:r w:rsidR="00EA59F6">
        <w:t>rule </w:t>
      </w:r>
      <w:r w:rsidRPr="006F25FE">
        <w:t>5.12, with the exception of three documents that would remain public: (1)</w:t>
      </w:r>
      <w:r w:rsidR="0031587D">
        <w:t> </w:t>
      </w:r>
      <w:r w:rsidRPr="006F25FE">
        <w:t>the 2023 Opinion; (2)</w:t>
      </w:r>
      <w:r w:rsidR="0031587D">
        <w:t> </w:t>
      </w:r>
      <w:r w:rsidRPr="006F25FE">
        <w:t>the public sealing order; and (3)</w:t>
      </w:r>
      <w:r w:rsidR="0031587D">
        <w:t> </w:t>
      </w:r>
      <w:r w:rsidRPr="006F25FE">
        <w:t xml:space="preserve">the amended public sealing order.  In both the original order and amended order, the judge specifically found that </w:t>
      </w:r>
      <w:r w:rsidR="00D32A40">
        <w:t>respondent’s</w:t>
      </w:r>
      <w:r w:rsidR="00D32A40" w:rsidRPr="006F25FE">
        <w:t xml:space="preserve"> </w:t>
      </w:r>
      <w:r w:rsidRPr="006F25FE">
        <w:t xml:space="preserve">“constitutionally protected privacy interests outweigh the public interest in this proceeding” because his criminal conviction had been vacated, which </w:t>
      </w:r>
      <w:r w:rsidR="00202FD6">
        <w:t>“</w:t>
      </w:r>
      <w:r w:rsidRPr="006F25FE">
        <w:t>void</w:t>
      </w:r>
      <w:r w:rsidR="00BC1BF5">
        <w:t>[</w:t>
      </w:r>
      <w:r w:rsidRPr="006F25FE">
        <w:t>ed</w:t>
      </w:r>
      <w:r w:rsidR="00BC1BF5">
        <w:t>]</w:t>
      </w:r>
      <w:r w:rsidRPr="006F25FE">
        <w:t xml:space="preserve"> the basis for this disciplinary proceeding.</w:t>
      </w:r>
      <w:r w:rsidR="00BC1BF5">
        <w:t>”</w:t>
      </w:r>
    </w:p>
    <w:p w14:paraId="667A1E23" w14:textId="731DA36A" w:rsidR="006F25FE" w:rsidRPr="006F25FE" w:rsidRDefault="006F25FE" w:rsidP="006F25FE">
      <w:pPr>
        <w:ind w:firstLine="720"/>
      </w:pPr>
      <w:r w:rsidRPr="006F25FE">
        <w:t xml:space="preserve">OCTC argues that the hearing judge’s sealing order must be voided because both the reproval order and the related proceedings were public.  While generally citing to </w:t>
      </w:r>
      <w:r w:rsidR="00EA59F6">
        <w:t>rule </w:t>
      </w:r>
      <w:r w:rsidRPr="006F25FE">
        <w:t xml:space="preserve">5.12, which is our procedural rule that provides for the sealing of records, and </w:t>
      </w:r>
      <w:r w:rsidRPr="00744A2C">
        <w:t>also</w:t>
      </w:r>
      <w:r w:rsidRPr="006F25FE">
        <w:t xml:space="preserve"> the definition of “confidential information” contained in </w:t>
      </w:r>
      <w:r w:rsidR="00EA59F6">
        <w:t>rule </w:t>
      </w:r>
      <w:r w:rsidRPr="006F25FE">
        <w:t xml:space="preserve">5.4(16), OCTC cites to </w:t>
      </w:r>
      <w:r w:rsidR="00EA59F6">
        <w:t>rule </w:t>
      </w:r>
      <w:r w:rsidRPr="006F25FE">
        <w:t>5.127(B), which states, “A public reproval is part of the attorney’s official State Bar attorney records, is disclosed in response to public inquiries, and is reported as a record of public discipline on the State Bar’s web page.  The record of the proceeding in which the public reproval was imposed is also public.”  OCTC offers a number of additional points regarding why the judge had no authority to seal the records in this matter: our 2023 Opinion has referred to the associated record, exhibits, and pleadings; the California Supreme Court’s summary denial refers to associated pleadings; and sealing the records would violate section 6092.5, subdivision (e), which requires the State Bar to expunge records at the direction of the Supreme Court.</w:t>
      </w:r>
    </w:p>
    <w:p w14:paraId="75E30D3D" w14:textId="47FF13EE" w:rsidR="006F25FE" w:rsidRPr="006F25FE" w:rsidRDefault="006F25FE" w:rsidP="006F25FE">
      <w:pPr>
        <w:ind w:firstLine="720"/>
      </w:pPr>
      <w:r w:rsidRPr="006F25FE">
        <w:lastRenderedPageBreak/>
        <w:t xml:space="preserve">Outside of our need to follow </w:t>
      </w:r>
      <w:r w:rsidR="00EA59F6">
        <w:t>rule </w:t>
      </w:r>
      <w:r w:rsidRPr="006F25FE">
        <w:t>5.12, we do not find OCTC’s points germane</w:t>
      </w:r>
      <w:r w:rsidRPr="006F25FE">
        <w:rPr>
          <w:vertAlign w:val="superscript"/>
        </w:rPr>
        <w:footnoteReference w:id="28"/>
      </w:r>
      <w:r w:rsidRPr="006F25FE">
        <w:t xml:space="preserve"> to the issue that we need to answer—namely, should records that have been duly created in a disciplinary proceeding that first imposed public discipline be sealed now that the discipline has been vacated and the proceeding itself has been dismissed?  The hearing judge approached the issue </w:t>
      </w:r>
      <w:r w:rsidR="001F78F0">
        <w:t xml:space="preserve">correctly </w:t>
      </w:r>
      <w:r w:rsidRPr="006F25FE">
        <w:t>by considering if “specific facts [show] that a statutory privilege or constitutionally protected interest exists that outweighs the public interest in the proceeding.”  (</w:t>
      </w:r>
      <w:r w:rsidR="00EA59F6">
        <w:t>Rule </w:t>
      </w:r>
      <w:r w:rsidRPr="006F25FE">
        <w:t xml:space="preserve">5.12(B).)  The judge determined that the vacated criminal conviction, which voided the basis for this disciplinary proceeding, created a </w:t>
      </w:r>
      <w:r w:rsidR="007B6C4D">
        <w:t>“</w:t>
      </w:r>
      <w:r w:rsidR="0011521C">
        <w:t xml:space="preserve">constitutionally </w:t>
      </w:r>
      <w:r w:rsidRPr="006F25FE">
        <w:t xml:space="preserve">protected privacy </w:t>
      </w:r>
      <w:r w:rsidR="00585268">
        <w:t>[</w:t>
      </w:r>
      <w:r w:rsidRPr="006F25FE">
        <w:t>interest that</w:t>
      </w:r>
      <w:r w:rsidR="008654AF">
        <w:t>]</w:t>
      </w:r>
      <w:r w:rsidRPr="006F25FE">
        <w:t xml:space="preserve"> outweigh</w:t>
      </w:r>
      <w:r w:rsidR="008654AF">
        <w:t>[</w:t>
      </w:r>
      <w:r w:rsidRPr="006F25FE">
        <w:t>ed</w:t>
      </w:r>
      <w:r w:rsidR="008654AF">
        <w:t>]</w:t>
      </w:r>
      <w:r w:rsidRPr="006F25FE">
        <w:t xml:space="preserve"> the public interest in this proceeding.</w:t>
      </w:r>
      <w:r w:rsidR="008654AF">
        <w:t>”</w:t>
      </w:r>
      <w:r w:rsidRPr="006F25FE">
        <w:t xml:space="preserve">  OCTC did not address, or even recognize, the judge’s analysis under </w:t>
      </w:r>
      <w:r w:rsidR="00EA59F6">
        <w:t>rule </w:t>
      </w:r>
      <w:r w:rsidRPr="006F25FE">
        <w:t xml:space="preserve">5.12.  We find its silence on the judge’s application of </w:t>
      </w:r>
      <w:r w:rsidR="00EA59F6">
        <w:t>rule </w:t>
      </w:r>
      <w:r w:rsidRPr="006F25FE">
        <w:t>5.12 and her analysis telling.</w:t>
      </w:r>
    </w:p>
    <w:p w14:paraId="227FC5E9" w14:textId="44DC3151" w:rsidR="006F25FE" w:rsidRPr="006F25FE" w:rsidRDefault="006F25FE" w:rsidP="006F25FE">
      <w:pPr>
        <w:ind w:firstLine="720"/>
      </w:pPr>
      <w:r w:rsidRPr="006F25FE">
        <w:t xml:space="preserve">In our search for some guidance on how to apply </w:t>
      </w:r>
      <w:r w:rsidR="00EA59F6">
        <w:t>rule </w:t>
      </w:r>
      <w:r w:rsidRPr="006F25FE">
        <w:t xml:space="preserve">5.12 to these facts, we believe that </w:t>
      </w:r>
      <w:r w:rsidRPr="006F25FE">
        <w:rPr>
          <w:i/>
          <w:iCs/>
        </w:rPr>
        <w:t>Central Valley Ch. of the 7th Step Foundation, Inc. v. Younger</w:t>
      </w:r>
      <w:r w:rsidRPr="006F25FE">
        <w:t xml:space="preserve"> (1989) 214 Cal.App.3d 145 </w:t>
      </w:r>
      <w:r w:rsidR="008B2BE4">
        <w:t>is</w:t>
      </w:r>
      <w:r w:rsidRPr="006F25FE">
        <w:t xml:space="preserve"> useful.  In </w:t>
      </w:r>
      <w:r w:rsidRPr="006F25FE">
        <w:rPr>
          <w:i/>
          <w:iCs/>
        </w:rPr>
        <w:t>Central Valley</w:t>
      </w:r>
      <w:r w:rsidRPr="006F25FE">
        <w:t xml:space="preserve">, the Court of Appeal concluded that the California Department of Justice violated a person’s state constitutional rights to privacy when it disseminated to nonexempt employers and licensing agencies arrest information not leading to a conviction because such dissemination </w:t>
      </w:r>
      <w:r w:rsidR="00BD6946">
        <w:t>wa</w:t>
      </w:r>
      <w:r w:rsidRPr="006F25FE">
        <w:t>s not justified by a compelling state interest.  (</w:t>
      </w:r>
      <w:r w:rsidRPr="006F25FE">
        <w:rPr>
          <w:i/>
          <w:iCs/>
        </w:rPr>
        <w:t>Id</w:t>
      </w:r>
      <w:r w:rsidRPr="006F25FE">
        <w:t xml:space="preserve">. at p. 151.)  The conclusion of </w:t>
      </w:r>
      <w:r w:rsidRPr="006F25FE">
        <w:rPr>
          <w:i/>
          <w:iCs/>
        </w:rPr>
        <w:t xml:space="preserve">Central Valley </w:t>
      </w:r>
      <w:r w:rsidRPr="006F25FE">
        <w:t xml:space="preserve">is sufficiently analogous with the requirements of </w:t>
      </w:r>
      <w:r w:rsidR="00EA59F6">
        <w:t>rule </w:t>
      </w:r>
      <w:r w:rsidRPr="006F25FE">
        <w:t xml:space="preserve">5.12(B) such that we apply it to </w:t>
      </w:r>
      <w:r w:rsidR="00137C71">
        <w:t>find</w:t>
      </w:r>
      <w:r w:rsidRPr="006F25FE">
        <w:t xml:space="preserve"> that </w:t>
      </w:r>
      <w:r w:rsidR="00D55B72">
        <w:t>respondent</w:t>
      </w:r>
      <w:r w:rsidR="00D55B72" w:rsidRPr="006F25FE">
        <w:t xml:space="preserve"> </w:t>
      </w:r>
      <w:r w:rsidRPr="006F25FE">
        <w:t>has a “constitutionally protected interest”</w:t>
      </w:r>
      <w:r w:rsidR="00A76B3B">
        <w:t>―</w:t>
      </w:r>
      <w:r w:rsidR="00D07B18">
        <w:t xml:space="preserve">his right to </w:t>
      </w:r>
      <w:r w:rsidR="00D07B18">
        <w:lastRenderedPageBreak/>
        <w:t>privacy―</w:t>
      </w:r>
      <w:r w:rsidRPr="006F25FE">
        <w:t>in keeping his now dismissed disciplinary proceeding from dissemination by the State Bar to the public</w:t>
      </w:r>
      <w:r w:rsidR="00D07B18">
        <w:t>.  A</w:t>
      </w:r>
      <w:r w:rsidRPr="006F25FE">
        <w:t xml:space="preserve">ny interest that the public could have in his dismissed proceeding is outweighed by </w:t>
      </w:r>
      <w:r w:rsidR="008874C1">
        <w:t>respondent’s</w:t>
      </w:r>
      <w:r w:rsidR="008874C1" w:rsidRPr="006F25FE">
        <w:t xml:space="preserve"> </w:t>
      </w:r>
      <w:r w:rsidRPr="006F25FE">
        <w:t>protected privacy interest.</w:t>
      </w:r>
    </w:p>
    <w:p w14:paraId="1AD85317" w14:textId="77777777" w:rsidR="006F25FE" w:rsidRPr="006F25FE" w:rsidRDefault="006F25FE" w:rsidP="006F25FE">
      <w:pPr>
        <w:ind w:firstLine="720"/>
      </w:pPr>
      <w:r w:rsidRPr="006F25FE">
        <w:t>In conclusion, we affirm the original and amended orders of the hearing judge, except where noted:</w:t>
      </w:r>
    </w:p>
    <w:p w14:paraId="77F84BDB" w14:textId="265E380F" w:rsidR="006F25FE" w:rsidRPr="006F25FE" w:rsidRDefault="006F25FE" w:rsidP="006F25FE">
      <w:pPr>
        <w:ind w:firstLine="720"/>
      </w:pPr>
      <w:r w:rsidRPr="006F25FE">
        <w:t>1.</w:t>
      </w:r>
      <w:r w:rsidR="00FC6B29">
        <w:tab/>
      </w:r>
      <w:r w:rsidRPr="006F25FE">
        <w:t xml:space="preserve">The </w:t>
      </w:r>
      <w:r w:rsidR="00D55B72">
        <w:t>2019 public reproval order</w:t>
      </w:r>
      <w:r w:rsidRPr="006F25FE">
        <w:t xml:space="preserve"> is vacated.</w:t>
      </w:r>
    </w:p>
    <w:p w14:paraId="0B82FABC" w14:textId="23810258" w:rsidR="006F25FE" w:rsidRPr="006F25FE" w:rsidRDefault="006F25FE" w:rsidP="006F25FE">
      <w:pPr>
        <w:ind w:firstLine="720"/>
      </w:pPr>
      <w:r w:rsidRPr="006F25FE">
        <w:t>2.</w:t>
      </w:r>
      <w:r w:rsidR="00FC6B29">
        <w:tab/>
      </w:r>
      <w:r w:rsidRPr="006F25FE">
        <w:t>The proceeding is dismissed without prejudice.</w:t>
      </w:r>
      <w:r w:rsidR="000C7D23">
        <w:t xml:space="preserve"> </w:t>
      </w:r>
      <w:r w:rsidRPr="006F25FE">
        <w:t xml:space="preserve"> (Rules Proc. of State Bar, </w:t>
      </w:r>
      <w:r w:rsidR="00EA59F6">
        <w:t>rule </w:t>
      </w:r>
      <w:r w:rsidRPr="006F25FE">
        <w:t xml:space="preserve">5.124(G).)  The matter will remain absent from </w:t>
      </w:r>
      <w:r w:rsidR="000C7D23">
        <w:t>respondent’s</w:t>
      </w:r>
      <w:r w:rsidR="000C7D23" w:rsidRPr="006F25FE">
        <w:t xml:space="preserve"> </w:t>
      </w:r>
      <w:r w:rsidRPr="006F25FE">
        <w:t xml:space="preserve">attorney profile page.  </w:t>
      </w:r>
    </w:p>
    <w:p w14:paraId="3AD9C09C" w14:textId="5A2997DC" w:rsidR="006F25FE" w:rsidRPr="006F25FE" w:rsidRDefault="006F25FE" w:rsidP="006F25FE">
      <w:pPr>
        <w:ind w:firstLine="720"/>
      </w:pPr>
      <w:r w:rsidRPr="006F25FE">
        <w:t>3.</w:t>
      </w:r>
      <w:r w:rsidR="00FC6B29">
        <w:tab/>
      </w:r>
      <w:r w:rsidRPr="006F25FE">
        <w:t xml:space="preserve">Our 2023 Opinion is ordered sealed as we find that </w:t>
      </w:r>
      <w:r w:rsidR="00033F53">
        <w:t>respondent’s</w:t>
      </w:r>
      <w:r w:rsidR="00033F53" w:rsidRPr="006F25FE">
        <w:t xml:space="preserve"> </w:t>
      </w:r>
      <w:r w:rsidRPr="006F25FE">
        <w:t>privacy interests outweigh the right of public access to the opinion.  (</w:t>
      </w:r>
      <w:r w:rsidR="00EA59F6">
        <w:t>Rule </w:t>
      </w:r>
      <w:r w:rsidRPr="006F25FE">
        <w:t xml:space="preserve">5.12.)  Because the California Supreme Court denied </w:t>
      </w:r>
      <w:r w:rsidR="00033F53">
        <w:t>respondent’s</w:t>
      </w:r>
      <w:r w:rsidR="00033F53" w:rsidRPr="006F25FE">
        <w:t xml:space="preserve"> </w:t>
      </w:r>
      <w:r w:rsidRPr="006F25FE">
        <w:t xml:space="preserve">petition for review of our 2023 Opinion, we do not have authority to </w:t>
      </w:r>
      <w:proofErr w:type="spellStart"/>
      <w:r w:rsidRPr="006F25FE">
        <w:t>depublish</w:t>
      </w:r>
      <w:proofErr w:type="spellEnd"/>
      <w:r w:rsidRPr="006F25FE">
        <w:t xml:space="preserve"> the opinion.  </w:t>
      </w:r>
      <w:r w:rsidR="00033F53">
        <w:t>Respondent</w:t>
      </w:r>
      <w:r w:rsidR="00033F53" w:rsidRPr="006F25FE">
        <w:t xml:space="preserve"> </w:t>
      </w:r>
      <w:r w:rsidRPr="006F25FE">
        <w:t>has a pending petition</w:t>
      </w:r>
      <w:r w:rsidR="006D73DB">
        <w:t xml:space="preserve"> with the Supreme Court</w:t>
      </w:r>
      <w:r w:rsidRPr="006F25FE">
        <w:t xml:space="preserve"> to seal the record and suppress his name on the </w:t>
      </w:r>
      <w:r w:rsidR="00FE288B">
        <w:t xml:space="preserve">Supreme Court’s </w:t>
      </w:r>
      <w:r w:rsidRPr="006F25FE">
        <w:t>public docket</w:t>
      </w:r>
      <w:r w:rsidR="001B5111">
        <w:t>.</w:t>
      </w:r>
      <w:r w:rsidRPr="006F25FE">
        <w:t xml:space="preserve">  </w:t>
      </w:r>
      <w:r w:rsidR="001B5111">
        <w:t>T</w:t>
      </w:r>
      <w:r w:rsidRPr="006F25FE">
        <w:t>he Supreme Court</w:t>
      </w:r>
      <w:r w:rsidR="001B5111">
        <w:t xml:space="preserve"> </w:t>
      </w:r>
      <w:r w:rsidRPr="006F25FE">
        <w:t xml:space="preserve">has </w:t>
      </w:r>
      <w:r w:rsidR="00E70328">
        <w:t>requested that</w:t>
      </w:r>
      <w:r w:rsidRPr="006F25FE">
        <w:t xml:space="preserve"> </w:t>
      </w:r>
      <w:r w:rsidR="00E30DD0">
        <w:t>the State Bar</w:t>
      </w:r>
      <w:r w:rsidRPr="006F25FE">
        <w:t xml:space="preserve"> serve our Opinion on Summary R</w:t>
      </w:r>
      <w:r w:rsidR="00FC6B29">
        <w:t>e</w:t>
      </w:r>
      <w:r w:rsidRPr="006F25FE">
        <w:t xml:space="preserve">view </w:t>
      </w:r>
      <w:r w:rsidR="0018610B">
        <w:t>on</w:t>
      </w:r>
      <w:r w:rsidR="008F5D0F">
        <w:t xml:space="preserve"> it </w:t>
      </w:r>
      <w:r w:rsidRPr="006F25FE">
        <w:t xml:space="preserve">after filing.  </w:t>
      </w:r>
      <w:r w:rsidR="001C31C3">
        <w:t xml:space="preserve">When the Supreme Court considers </w:t>
      </w:r>
      <w:r w:rsidR="00BA4603">
        <w:t>respondent’s</w:t>
      </w:r>
      <w:r w:rsidR="00BA4603" w:rsidRPr="006F25FE">
        <w:t xml:space="preserve"> </w:t>
      </w:r>
      <w:r w:rsidRPr="006F25FE">
        <w:t xml:space="preserve">petition, we request guidance from the </w:t>
      </w:r>
      <w:r w:rsidR="00634D50">
        <w:t xml:space="preserve">Supreme </w:t>
      </w:r>
      <w:r w:rsidRPr="006F25FE">
        <w:t xml:space="preserve">Court as to </w:t>
      </w:r>
      <w:proofErr w:type="spellStart"/>
      <w:r w:rsidRPr="006F25FE">
        <w:t>depublication</w:t>
      </w:r>
      <w:proofErr w:type="spellEnd"/>
      <w:r w:rsidRPr="006F25FE">
        <w:t xml:space="preserve"> of the 2023</w:t>
      </w:r>
      <w:r w:rsidR="009028B3">
        <w:t> </w:t>
      </w:r>
      <w:r w:rsidRPr="006F25FE">
        <w:t>Opinion and whether it can remain published if we remove names and other identifying information.</w:t>
      </w:r>
    </w:p>
    <w:p w14:paraId="332049CF" w14:textId="10DF3A40" w:rsidR="007B2597" w:rsidRDefault="006F25FE" w:rsidP="006F25FE">
      <w:pPr>
        <w:ind w:firstLine="720"/>
      </w:pPr>
      <w:r w:rsidRPr="006F25FE">
        <w:t>4.</w:t>
      </w:r>
      <w:r w:rsidR="00FC6B29">
        <w:tab/>
      </w:r>
      <w:r w:rsidR="008C1442" w:rsidRPr="008C1442">
        <w:t xml:space="preserve">As this is a dismissed proceeding, we find that respondent’s privacy interests outweigh the right of public access to the record.  (Rule 5.12.)  </w:t>
      </w:r>
      <w:r w:rsidR="00DD0AC1">
        <w:t>D</w:t>
      </w:r>
      <w:r w:rsidR="00DD0AC1" w:rsidRPr="009E3538">
        <w:t>ue to the confidential nature of these proceedings</w:t>
      </w:r>
      <w:r w:rsidR="00DD0AC1">
        <w:t xml:space="preserve"> (rule 5.9), </w:t>
      </w:r>
      <w:r w:rsidR="00DD0AC1" w:rsidRPr="005338EA">
        <w:t>as of the date of this Opinion on Summary Review</w:t>
      </w:r>
      <w:r w:rsidR="00DD0AC1">
        <w:t xml:space="preserve">, we order the entire court record sealed, including the </w:t>
      </w:r>
      <w:r w:rsidR="00DD0AC1" w:rsidRPr="00DB045A">
        <w:t xml:space="preserve">original public sealing order </w:t>
      </w:r>
      <w:r w:rsidR="00DD0AC1">
        <w:t xml:space="preserve">and </w:t>
      </w:r>
      <w:r w:rsidR="00DD0AC1" w:rsidRPr="00DB045A">
        <w:t>the amended public sealing order</w:t>
      </w:r>
      <w:r w:rsidR="00DD0AC1">
        <w:t>.</w:t>
      </w:r>
      <w:r w:rsidR="004F08D9">
        <w:t xml:space="preserve">  However, this anonymous</w:t>
      </w:r>
      <w:r w:rsidR="00FC4A76">
        <w:t xml:space="preserve"> version of the</w:t>
      </w:r>
      <w:r w:rsidR="004F08D9">
        <w:t xml:space="preserve"> opinion is designated for publication and </w:t>
      </w:r>
      <w:r w:rsidR="004F08D9">
        <w:lastRenderedPageBreak/>
        <w:t>available to the public.</w:t>
      </w:r>
      <w:r w:rsidR="004F08D9">
        <w:rPr>
          <w:rStyle w:val="FootnoteReference"/>
        </w:rPr>
        <w:footnoteReference w:id="29"/>
      </w:r>
      <w:r w:rsidR="0015491C">
        <w:t xml:space="preserve">  In addition, we order </w:t>
      </w:r>
      <w:r w:rsidR="0015491C" w:rsidRPr="00376743">
        <w:t>the court case information sealed</w:t>
      </w:r>
      <w:r w:rsidR="0015491C">
        <w:t>.  Any future pleadings filed in the State Bar Court in this matter are ordered to be filed under seal.  We further order that protected and sealed material will only be disclosed to (1) parties to the proceeding and counsel; (2) Supreme Court personnel, State Bar Court personnel, and independent audiotape transcribers; and (3) personnel of the State Bar’s Office of Case Management and Supervision when necessary for their official duties.  Protected and sealed material will be marked and maintained by all authorized individuals in a manner calculated to prevent improper disclosure.  All persons to whom protected and sealed material is disclosed will be given a copy of this opinion sealing the record by the person making the disclosure.  (Rule 5.12.)</w:t>
      </w:r>
    </w:p>
    <w:p w14:paraId="6A886C9D" w14:textId="77777777" w:rsidR="006F25FE" w:rsidRPr="006F25FE" w:rsidRDefault="006F25FE" w:rsidP="006F25FE">
      <w:pPr>
        <w:ind w:firstLine="720"/>
      </w:pPr>
      <w:r w:rsidRPr="006F25FE">
        <w:tab/>
      </w:r>
      <w:r w:rsidRPr="006F25FE">
        <w:tab/>
      </w:r>
      <w:r w:rsidRPr="006F25FE">
        <w:tab/>
      </w:r>
      <w:r w:rsidRPr="006F25FE">
        <w:tab/>
      </w:r>
      <w:r w:rsidRPr="006F25FE">
        <w:tab/>
      </w:r>
      <w:r w:rsidRPr="006F25FE">
        <w:tab/>
      </w:r>
      <w:r w:rsidRPr="006F25FE">
        <w:tab/>
      </w:r>
      <w:r w:rsidRPr="006F25FE">
        <w:tab/>
      </w:r>
      <w:sdt>
        <w:sdtPr>
          <w:alias w:val="Select Judge"/>
          <w:tag w:val="Select Judge"/>
          <w:id w:val="656042937"/>
          <w:placeholder>
            <w:docPart w:val="3C9B70AB1B4B4ADA969781806F257C24"/>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Pr="006F25FE">
            <w:t>McGILL, J.</w:t>
          </w:r>
        </w:sdtContent>
      </w:sdt>
    </w:p>
    <w:p w14:paraId="0EBBAE69" w14:textId="77777777" w:rsidR="006F25FE" w:rsidRPr="006F25FE" w:rsidRDefault="006F25FE" w:rsidP="00FC6B29">
      <w:r w:rsidRPr="006F25FE">
        <w:t>WE CONCUR:</w:t>
      </w:r>
    </w:p>
    <w:p w14:paraId="511EB0C9" w14:textId="77777777" w:rsidR="006F25FE" w:rsidRPr="006F25FE" w:rsidRDefault="00232285" w:rsidP="00FC6B29">
      <w:sdt>
        <w:sdtPr>
          <w:alias w:val="Select Concurring Judges"/>
          <w:tag w:val="Select Concurring Judges"/>
          <w:id w:val="-217750452"/>
          <w:placeholder>
            <w:docPart w:val="A44D4CC10C024281A9BD332593F8C6CF"/>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6F25FE" w:rsidRPr="006F25FE">
            <w:t>HONN, P. J.</w:t>
          </w:r>
        </w:sdtContent>
      </w:sdt>
    </w:p>
    <w:p w14:paraId="2170E32B" w14:textId="77777777" w:rsidR="006F25FE" w:rsidRPr="006F25FE" w:rsidRDefault="00232285" w:rsidP="00FC6B29">
      <w:sdt>
        <w:sdtPr>
          <w:alias w:val="Select Concurring Judges"/>
          <w:tag w:val="Select Concurring Judges"/>
          <w:id w:val="47125195"/>
          <w:placeholder>
            <w:docPart w:val="2AF7A5EDDC9E4DB1B1F13960A998A8CF"/>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6F25FE" w:rsidRPr="006F25FE">
            <w:t>RIBAS, J.</w:t>
          </w:r>
        </w:sdtContent>
      </w:sdt>
    </w:p>
    <w:p w14:paraId="02C79B6D" w14:textId="7E0FF4F3" w:rsidR="00171476" w:rsidRDefault="00171476">
      <w:pPr>
        <w:spacing w:line="240" w:lineRule="auto"/>
      </w:pPr>
      <w:r>
        <w:br w:type="page"/>
      </w:r>
    </w:p>
    <w:p w14:paraId="5BE6D2A2" w14:textId="77777777" w:rsidR="00171476" w:rsidRPr="00171476" w:rsidRDefault="00171476" w:rsidP="00171476">
      <w:pPr>
        <w:tabs>
          <w:tab w:val="left" w:pos="4994"/>
        </w:tabs>
        <w:spacing w:line="240" w:lineRule="auto"/>
        <w:rPr>
          <w:rFonts w:eastAsia="Times New Roman"/>
          <w:b/>
          <w:bCs/>
          <w:sz w:val="28"/>
          <w:szCs w:val="28"/>
        </w:rPr>
      </w:pPr>
      <w:r w:rsidRPr="00171476">
        <w:rPr>
          <w:rFonts w:eastAsia="Times New Roman"/>
          <w:szCs w:val="24"/>
          <w:lang w:val="en-CA"/>
        </w:rPr>
        <w:lastRenderedPageBreak/>
        <w:fldChar w:fldCharType="begin"/>
      </w:r>
      <w:r w:rsidRPr="00171476">
        <w:rPr>
          <w:rFonts w:eastAsia="Times New Roman"/>
          <w:szCs w:val="24"/>
          <w:lang w:val="en-CA"/>
        </w:rPr>
        <w:instrText xml:space="preserve"> SEQ CHAPTER \h \r 1</w:instrText>
      </w:r>
      <w:r w:rsidRPr="00171476">
        <w:rPr>
          <w:rFonts w:eastAsia="Times New Roman"/>
          <w:szCs w:val="24"/>
          <w:lang w:val="en-CA"/>
        </w:rPr>
        <w:fldChar w:fldCharType="end"/>
      </w:r>
    </w:p>
    <w:p w14:paraId="412B7914" w14:textId="77777777" w:rsidR="00171476" w:rsidRPr="00171476" w:rsidRDefault="00171476" w:rsidP="00171476">
      <w:pPr>
        <w:spacing w:line="240" w:lineRule="auto"/>
        <w:jc w:val="center"/>
        <w:rPr>
          <w:rFonts w:eastAsia="Times New Roman"/>
          <w:b/>
          <w:bCs/>
          <w:sz w:val="34"/>
          <w:szCs w:val="34"/>
        </w:rPr>
      </w:pPr>
    </w:p>
    <w:p w14:paraId="3BD0C125" w14:textId="77777777" w:rsidR="00171476" w:rsidRPr="00171476" w:rsidRDefault="00171476" w:rsidP="00171476">
      <w:pPr>
        <w:spacing w:line="240" w:lineRule="auto"/>
        <w:jc w:val="center"/>
        <w:outlineLvl w:val="0"/>
        <w:rPr>
          <w:rFonts w:eastAsia="Times New Roman"/>
          <w:b/>
          <w:bCs/>
          <w:sz w:val="34"/>
          <w:szCs w:val="34"/>
        </w:rPr>
      </w:pPr>
    </w:p>
    <w:p w14:paraId="528E69DA" w14:textId="77777777" w:rsidR="00171476" w:rsidRPr="00171476" w:rsidRDefault="00171476" w:rsidP="00171476">
      <w:pPr>
        <w:spacing w:line="240" w:lineRule="auto"/>
        <w:jc w:val="center"/>
        <w:outlineLvl w:val="0"/>
        <w:rPr>
          <w:rFonts w:eastAsia="Times New Roman"/>
          <w:b/>
          <w:bCs/>
          <w:szCs w:val="34"/>
        </w:rPr>
      </w:pPr>
      <w:r w:rsidRPr="00171476">
        <w:rPr>
          <w:rFonts w:eastAsia="Times New Roman"/>
          <w:b/>
          <w:bCs/>
          <w:szCs w:val="34"/>
        </w:rPr>
        <w:t>XX-C-XXXXX</w:t>
      </w:r>
    </w:p>
    <w:p w14:paraId="3C7FBFFD" w14:textId="77777777" w:rsidR="00171476" w:rsidRPr="00171476" w:rsidRDefault="00171476" w:rsidP="00171476">
      <w:pPr>
        <w:spacing w:line="240" w:lineRule="auto"/>
        <w:jc w:val="center"/>
        <w:outlineLvl w:val="0"/>
        <w:rPr>
          <w:rFonts w:eastAsia="Times New Roman"/>
          <w:szCs w:val="34"/>
        </w:rPr>
      </w:pPr>
    </w:p>
    <w:p w14:paraId="0BF5270D" w14:textId="77777777" w:rsidR="00171476" w:rsidRPr="00171476" w:rsidRDefault="00171476" w:rsidP="00171476">
      <w:pPr>
        <w:spacing w:line="240" w:lineRule="auto"/>
        <w:jc w:val="center"/>
        <w:rPr>
          <w:rFonts w:eastAsia="Times New Roman"/>
          <w:b/>
          <w:bCs/>
          <w:i/>
          <w:iCs/>
          <w:szCs w:val="34"/>
        </w:rPr>
      </w:pPr>
    </w:p>
    <w:p w14:paraId="56E7E4E7" w14:textId="77777777" w:rsidR="00171476" w:rsidRPr="00171476" w:rsidRDefault="00171476" w:rsidP="00171476">
      <w:pPr>
        <w:spacing w:line="240" w:lineRule="auto"/>
        <w:jc w:val="center"/>
        <w:rPr>
          <w:rFonts w:eastAsia="Times New Roman"/>
          <w:b/>
          <w:bCs/>
          <w:i/>
          <w:iCs/>
          <w:szCs w:val="34"/>
        </w:rPr>
      </w:pPr>
      <w:r w:rsidRPr="00171476">
        <w:rPr>
          <w:rFonts w:eastAsia="Times New Roman"/>
          <w:b/>
          <w:bCs/>
          <w:i/>
          <w:iCs/>
          <w:szCs w:val="34"/>
        </w:rPr>
        <w:br/>
      </w:r>
    </w:p>
    <w:p w14:paraId="19456130" w14:textId="77777777" w:rsidR="00171476" w:rsidRPr="00171476" w:rsidRDefault="00171476" w:rsidP="00171476">
      <w:pPr>
        <w:spacing w:line="360" w:lineRule="auto"/>
        <w:jc w:val="center"/>
        <w:outlineLvl w:val="0"/>
        <w:rPr>
          <w:rFonts w:eastAsia="Times New Roman"/>
          <w:b/>
          <w:bCs/>
          <w:i/>
          <w:iCs/>
          <w:szCs w:val="34"/>
        </w:rPr>
      </w:pPr>
      <w:r w:rsidRPr="00171476">
        <w:rPr>
          <w:rFonts w:eastAsia="Times New Roman"/>
          <w:b/>
          <w:bCs/>
          <w:i/>
          <w:iCs/>
          <w:szCs w:val="34"/>
        </w:rPr>
        <w:t xml:space="preserve">In the Matter of </w:t>
      </w:r>
    </w:p>
    <w:sdt>
      <w:sdtPr>
        <w:rPr>
          <w:rFonts w:eastAsia="Times New Roman"/>
          <w:szCs w:val="28"/>
        </w:rPr>
        <w:id w:val="-1673560664"/>
        <w:placeholder>
          <w:docPart w:val="563C9EB089FE4C328E80B3A861A03EF7"/>
        </w:placeholder>
        <w:text/>
      </w:sdtPr>
      <w:sdtEndPr/>
      <w:sdtContent>
        <w:p w14:paraId="15AE3E2A" w14:textId="77777777" w:rsidR="00171476" w:rsidRPr="00171476" w:rsidRDefault="00171476" w:rsidP="00171476">
          <w:pPr>
            <w:spacing w:line="360" w:lineRule="auto"/>
            <w:jc w:val="center"/>
            <w:outlineLvl w:val="0"/>
            <w:rPr>
              <w:rFonts w:eastAsia="Times New Roman"/>
              <w:szCs w:val="28"/>
            </w:rPr>
          </w:pPr>
          <w:r w:rsidRPr="00171476">
            <w:rPr>
              <w:rFonts w:eastAsia="Times New Roman"/>
              <w:szCs w:val="28"/>
            </w:rPr>
            <w:t>Respondent EE</w:t>
          </w:r>
        </w:p>
      </w:sdtContent>
    </w:sdt>
    <w:p w14:paraId="58938EEC" w14:textId="77777777" w:rsidR="00171476" w:rsidRPr="00171476" w:rsidRDefault="00171476" w:rsidP="00171476">
      <w:pPr>
        <w:spacing w:line="360" w:lineRule="auto"/>
        <w:jc w:val="center"/>
        <w:rPr>
          <w:rFonts w:eastAsia="Times New Roman"/>
          <w:szCs w:val="28"/>
        </w:rPr>
      </w:pPr>
    </w:p>
    <w:p w14:paraId="2FDEE062" w14:textId="77777777" w:rsidR="00171476" w:rsidRPr="00171476" w:rsidRDefault="00171476" w:rsidP="00171476">
      <w:pPr>
        <w:spacing w:line="360" w:lineRule="auto"/>
        <w:jc w:val="center"/>
        <w:rPr>
          <w:rFonts w:eastAsia="Times New Roman"/>
          <w:szCs w:val="28"/>
        </w:rPr>
      </w:pPr>
    </w:p>
    <w:p w14:paraId="1452D19E" w14:textId="77777777" w:rsidR="00171476" w:rsidRPr="00171476" w:rsidRDefault="00171476" w:rsidP="00171476">
      <w:pPr>
        <w:spacing w:line="360" w:lineRule="auto"/>
        <w:jc w:val="center"/>
        <w:rPr>
          <w:rFonts w:eastAsia="Times New Roman"/>
          <w:szCs w:val="28"/>
        </w:rPr>
      </w:pPr>
    </w:p>
    <w:p w14:paraId="48404ED9" w14:textId="77777777" w:rsidR="00171476" w:rsidRPr="00171476" w:rsidRDefault="00171476" w:rsidP="00171476">
      <w:pPr>
        <w:spacing w:line="360" w:lineRule="auto"/>
        <w:jc w:val="center"/>
        <w:rPr>
          <w:rFonts w:eastAsia="Times New Roman"/>
          <w:szCs w:val="28"/>
        </w:rPr>
      </w:pPr>
    </w:p>
    <w:p w14:paraId="661DBA5D" w14:textId="77777777" w:rsidR="00171476" w:rsidRPr="00171476" w:rsidRDefault="00171476" w:rsidP="00171476">
      <w:pPr>
        <w:spacing w:line="360" w:lineRule="auto"/>
        <w:jc w:val="center"/>
        <w:rPr>
          <w:rFonts w:eastAsia="Times New Roman"/>
          <w:szCs w:val="28"/>
        </w:rPr>
      </w:pPr>
    </w:p>
    <w:p w14:paraId="1D837254" w14:textId="77777777" w:rsidR="00171476" w:rsidRPr="00171476" w:rsidRDefault="00171476" w:rsidP="00171476">
      <w:pPr>
        <w:spacing w:line="240" w:lineRule="auto"/>
        <w:jc w:val="center"/>
        <w:outlineLvl w:val="0"/>
        <w:rPr>
          <w:rFonts w:eastAsia="Times New Roman"/>
          <w:i/>
          <w:iCs/>
          <w:szCs w:val="28"/>
        </w:rPr>
      </w:pPr>
      <w:r w:rsidRPr="00171476">
        <w:rPr>
          <w:rFonts w:eastAsia="Times New Roman"/>
          <w:i/>
          <w:iCs/>
          <w:szCs w:val="28"/>
        </w:rPr>
        <w:t>Hearing Judge</w:t>
      </w:r>
    </w:p>
    <w:p w14:paraId="56C5D39C" w14:textId="77777777" w:rsidR="00171476" w:rsidRPr="00171476" w:rsidRDefault="00171476" w:rsidP="00171476">
      <w:pPr>
        <w:spacing w:line="240" w:lineRule="auto"/>
        <w:jc w:val="center"/>
        <w:outlineLvl w:val="0"/>
        <w:rPr>
          <w:rFonts w:eastAsia="Times New Roman"/>
          <w:szCs w:val="28"/>
        </w:rPr>
      </w:pPr>
      <w:r w:rsidRPr="00171476">
        <w:rPr>
          <w:rFonts w:eastAsia="Times New Roman"/>
          <w:b/>
          <w:bCs/>
          <w:szCs w:val="32"/>
        </w:rPr>
        <w:t xml:space="preserve">Hon. </w:t>
      </w:r>
      <w:sdt>
        <w:sdtPr>
          <w:rPr>
            <w:rFonts w:eastAsia="Times New Roman"/>
            <w:b/>
            <w:bCs/>
            <w:szCs w:val="32"/>
          </w:rPr>
          <w:id w:val="-2064322851"/>
          <w:placeholder>
            <w:docPart w:val="563C9EB089FE4C328E80B3A861A03EF7"/>
          </w:placeholder>
          <w:text/>
        </w:sdtPr>
        <w:sdtEndPr/>
        <w:sdtContent>
          <w:r w:rsidRPr="00171476">
            <w:rPr>
              <w:rFonts w:eastAsia="Times New Roman"/>
              <w:b/>
              <w:bCs/>
              <w:szCs w:val="32"/>
            </w:rPr>
            <w:t>Manjari Chawla</w:t>
          </w:r>
        </w:sdtContent>
      </w:sdt>
    </w:p>
    <w:p w14:paraId="7E53F25E" w14:textId="77777777" w:rsidR="00171476" w:rsidRPr="00171476" w:rsidRDefault="00171476" w:rsidP="00171476">
      <w:pPr>
        <w:spacing w:line="240" w:lineRule="auto"/>
        <w:jc w:val="center"/>
        <w:rPr>
          <w:rFonts w:eastAsia="Times New Roman"/>
          <w:szCs w:val="28"/>
        </w:rPr>
      </w:pPr>
    </w:p>
    <w:p w14:paraId="7585F329" w14:textId="77777777" w:rsidR="00171476" w:rsidRPr="00171476" w:rsidRDefault="00171476" w:rsidP="00171476">
      <w:pPr>
        <w:spacing w:line="240" w:lineRule="auto"/>
        <w:jc w:val="center"/>
        <w:rPr>
          <w:rFonts w:eastAsia="Times New Roman"/>
          <w:szCs w:val="28"/>
        </w:rPr>
      </w:pPr>
    </w:p>
    <w:p w14:paraId="2ECE6534" w14:textId="77777777" w:rsidR="00171476" w:rsidRPr="00171476" w:rsidRDefault="00171476" w:rsidP="00171476">
      <w:pPr>
        <w:spacing w:line="240" w:lineRule="auto"/>
        <w:jc w:val="center"/>
        <w:rPr>
          <w:rFonts w:eastAsia="Times New Roman"/>
          <w:szCs w:val="28"/>
        </w:rPr>
      </w:pPr>
    </w:p>
    <w:p w14:paraId="3F0D58BA" w14:textId="77777777" w:rsidR="00171476" w:rsidRPr="00171476" w:rsidRDefault="00171476" w:rsidP="00171476">
      <w:pPr>
        <w:spacing w:line="240" w:lineRule="auto"/>
        <w:jc w:val="center"/>
        <w:outlineLvl w:val="0"/>
        <w:rPr>
          <w:rFonts w:eastAsia="Times New Roman"/>
          <w:b/>
          <w:bCs/>
          <w:i/>
          <w:iCs/>
          <w:szCs w:val="28"/>
        </w:rPr>
      </w:pPr>
      <w:r w:rsidRPr="00171476">
        <w:rPr>
          <w:rFonts w:eastAsia="Times New Roman"/>
          <w:i/>
          <w:iCs/>
          <w:szCs w:val="28"/>
        </w:rPr>
        <w:t>Counsel for the Parties</w:t>
      </w:r>
    </w:p>
    <w:p w14:paraId="7E11B36E" w14:textId="77777777" w:rsidR="00171476" w:rsidRPr="00171476" w:rsidRDefault="00171476" w:rsidP="00171476">
      <w:pPr>
        <w:spacing w:line="240" w:lineRule="auto"/>
        <w:rPr>
          <w:rFonts w:eastAsia="Times New Roman"/>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171476" w:rsidRPr="00171476" w14:paraId="5D534718" w14:textId="77777777" w:rsidTr="00ED24AA">
        <w:trPr>
          <w:cantSplit/>
        </w:trPr>
        <w:tc>
          <w:tcPr>
            <w:tcW w:w="5310" w:type="dxa"/>
          </w:tcPr>
          <w:p w14:paraId="081D7754" w14:textId="77777777" w:rsidR="00171476" w:rsidRPr="00171476" w:rsidRDefault="00171476" w:rsidP="00171476">
            <w:pPr>
              <w:spacing w:before="100" w:after="48" w:line="240" w:lineRule="auto"/>
              <w:rPr>
                <w:rFonts w:eastAsia="Times New Roman"/>
                <w:szCs w:val="28"/>
              </w:rPr>
            </w:pPr>
            <w:r w:rsidRPr="00171476">
              <w:rPr>
                <w:rFonts w:eastAsia="Times New Roman"/>
                <w:b/>
                <w:bCs/>
                <w:szCs w:val="28"/>
              </w:rPr>
              <w:tab/>
            </w:r>
            <w:r w:rsidRPr="00171476">
              <w:rPr>
                <w:rFonts w:eastAsia="Times New Roman"/>
                <w:szCs w:val="28"/>
              </w:rPr>
              <w:t>For Office of Chief Trial Counsel:</w:t>
            </w:r>
          </w:p>
        </w:tc>
        <w:tc>
          <w:tcPr>
            <w:tcW w:w="4140" w:type="dxa"/>
          </w:tcPr>
          <w:sdt>
            <w:sdtPr>
              <w:rPr>
                <w:rFonts w:eastAsia="Times New Roman"/>
                <w:szCs w:val="28"/>
              </w:rPr>
              <w:alias w:val="DTC Name"/>
              <w:tag w:val="DTC Name"/>
              <w:id w:val="2129961319"/>
              <w:placeholder>
                <w:docPart w:val="563C9EB089FE4C328E80B3A861A03EF7"/>
              </w:placeholder>
              <w:text/>
            </w:sdtPr>
            <w:sdtEndPr/>
            <w:sdtContent>
              <w:p w14:paraId="6D778870" w14:textId="77777777" w:rsidR="00171476" w:rsidRPr="00171476" w:rsidRDefault="00171476" w:rsidP="00171476">
                <w:pPr>
                  <w:spacing w:before="100" w:line="240" w:lineRule="auto"/>
                  <w:rPr>
                    <w:rFonts w:eastAsia="Times New Roman"/>
                    <w:szCs w:val="28"/>
                  </w:rPr>
                </w:pPr>
                <w:r w:rsidRPr="00171476">
                  <w:rPr>
                    <w:rFonts w:eastAsia="Times New Roman"/>
                    <w:szCs w:val="28"/>
                  </w:rPr>
                  <w:t>Alex James Hackert</w:t>
                </w:r>
              </w:p>
            </w:sdtContent>
          </w:sdt>
          <w:p w14:paraId="1DBA1000" w14:textId="77777777" w:rsidR="00171476" w:rsidRPr="00171476" w:rsidRDefault="00171476" w:rsidP="00171476">
            <w:pPr>
              <w:spacing w:line="240" w:lineRule="auto"/>
              <w:rPr>
                <w:rFonts w:eastAsia="Times New Roman"/>
                <w:szCs w:val="28"/>
              </w:rPr>
            </w:pPr>
            <w:r w:rsidRPr="00171476">
              <w:rPr>
                <w:rFonts w:eastAsia="Times New Roman"/>
                <w:szCs w:val="28"/>
              </w:rPr>
              <w:t>Office of Chief Trial Counsel</w:t>
            </w:r>
          </w:p>
          <w:p w14:paraId="06048547" w14:textId="77777777" w:rsidR="00171476" w:rsidRPr="00171476" w:rsidRDefault="00171476" w:rsidP="00171476">
            <w:pPr>
              <w:spacing w:line="240" w:lineRule="auto"/>
              <w:rPr>
                <w:rFonts w:eastAsia="Times New Roman"/>
                <w:szCs w:val="28"/>
              </w:rPr>
            </w:pPr>
            <w:r w:rsidRPr="00171476">
              <w:rPr>
                <w:rFonts w:eastAsia="Times New Roman"/>
                <w:szCs w:val="28"/>
              </w:rPr>
              <w:t>The State Bar of California</w:t>
            </w:r>
          </w:p>
          <w:p w14:paraId="7679ADE3" w14:textId="77777777" w:rsidR="00171476" w:rsidRPr="00171476" w:rsidRDefault="00171476" w:rsidP="00171476">
            <w:pPr>
              <w:spacing w:line="240" w:lineRule="auto"/>
              <w:rPr>
                <w:rFonts w:eastAsia="Times New Roman"/>
                <w:szCs w:val="28"/>
              </w:rPr>
            </w:pPr>
            <w:r w:rsidRPr="00171476">
              <w:rPr>
                <w:rFonts w:eastAsia="Times New Roman"/>
                <w:szCs w:val="28"/>
              </w:rPr>
              <w:t>845 S. Figueroa Street</w:t>
            </w:r>
          </w:p>
          <w:p w14:paraId="3510C70A" w14:textId="77777777" w:rsidR="00171476" w:rsidRPr="00171476" w:rsidRDefault="00171476" w:rsidP="00171476">
            <w:pPr>
              <w:spacing w:line="240" w:lineRule="auto"/>
              <w:rPr>
                <w:rFonts w:eastAsia="Times New Roman"/>
                <w:szCs w:val="28"/>
              </w:rPr>
            </w:pPr>
            <w:r w:rsidRPr="00171476">
              <w:rPr>
                <w:rFonts w:eastAsia="Times New Roman"/>
                <w:szCs w:val="28"/>
              </w:rPr>
              <w:t>Los Angeles, CA  90017</w:t>
            </w:r>
          </w:p>
          <w:p w14:paraId="5FB0A1EC" w14:textId="77777777" w:rsidR="00171476" w:rsidRPr="00171476" w:rsidRDefault="00171476" w:rsidP="00171476">
            <w:pPr>
              <w:spacing w:line="240" w:lineRule="auto"/>
              <w:rPr>
                <w:rFonts w:eastAsia="Times New Roman"/>
                <w:szCs w:val="28"/>
              </w:rPr>
            </w:pPr>
          </w:p>
          <w:p w14:paraId="1640CC07" w14:textId="77777777" w:rsidR="00171476" w:rsidRPr="00171476" w:rsidRDefault="00171476" w:rsidP="00171476">
            <w:pPr>
              <w:spacing w:line="240" w:lineRule="auto"/>
              <w:rPr>
                <w:rFonts w:eastAsia="Times New Roman"/>
                <w:szCs w:val="28"/>
              </w:rPr>
            </w:pPr>
            <w:r w:rsidRPr="00171476">
              <w:rPr>
                <w:rFonts w:eastAsia="Times New Roman"/>
                <w:szCs w:val="28"/>
              </w:rPr>
              <w:t>Peter Allen Klivans</w:t>
            </w:r>
          </w:p>
          <w:p w14:paraId="4EDFF498" w14:textId="77777777" w:rsidR="00171476" w:rsidRPr="00171476" w:rsidRDefault="00171476" w:rsidP="00171476">
            <w:pPr>
              <w:spacing w:line="240" w:lineRule="auto"/>
              <w:rPr>
                <w:rFonts w:eastAsia="Times New Roman"/>
                <w:szCs w:val="28"/>
              </w:rPr>
            </w:pPr>
            <w:r w:rsidRPr="00171476">
              <w:rPr>
                <w:rFonts w:eastAsia="Times New Roman"/>
                <w:szCs w:val="28"/>
              </w:rPr>
              <w:t>Office of Chief Trial Counsel</w:t>
            </w:r>
          </w:p>
          <w:p w14:paraId="00B75313" w14:textId="77777777" w:rsidR="00171476" w:rsidRPr="00171476" w:rsidRDefault="00171476" w:rsidP="00171476">
            <w:pPr>
              <w:spacing w:line="240" w:lineRule="auto"/>
              <w:rPr>
                <w:rFonts w:eastAsia="Times New Roman"/>
                <w:szCs w:val="28"/>
              </w:rPr>
            </w:pPr>
            <w:r w:rsidRPr="00171476">
              <w:rPr>
                <w:rFonts w:eastAsia="Times New Roman"/>
                <w:szCs w:val="28"/>
              </w:rPr>
              <w:t>The State Bar of California</w:t>
            </w:r>
          </w:p>
          <w:p w14:paraId="13FAA9F1" w14:textId="77777777" w:rsidR="00171476" w:rsidRPr="00171476" w:rsidRDefault="00171476" w:rsidP="00171476">
            <w:pPr>
              <w:spacing w:line="240" w:lineRule="auto"/>
              <w:rPr>
                <w:rFonts w:eastAsia="Times New Roman"/>
                <w:szCs w:val="28"/>
              </w:rPr>
            </w:pPr>
            <w:r w:rsidRPr="00171476">
              <w:rPr>
                <w:rFonts w:eastAsia="Times New Roman"/>
                <w:szCs w:val="28"/>
              </w:rPr>
              <w:t>180 Howard Street</w:t>
            </w:r>
          </w:p>
          <w:p w14:paraId="12563236" w14:textId="77777777" w:rsidR="00171476" w:rsidRPr="00171476" w:rsidRDefault="00171476" w:rsidP="00171476">
            <w:pPr>
              <w:spacing w:line="240" w:lineRule="auto"/>
              <w:rPr>
                <w:rFonts w:eastAsia="Times New Roman"/>
                <w:szCs w:val="28"/>
              </w:rPr>
            </w:pPr>
            <w:r w:rsidRPr="00171476">
              <w:rPr>
                <w:rFonts w:eastAsia="Times New Roman"/>
                <w:szCs w:val="28"/>
              </w:rPr>
              <w:t>San Francisco, CA 94105</w:t>
            </w:r>
          </w:p>
          <w:p w14:paraId="0FD0EE51" w14:textId="77777777" w:rsidR="00171476" w:rsidRPr="00171476" w:rsidRDefault="00171476" w:rsidP="00171476">
            <w:pPr>
              <w:spacing w:line="240" w:lineRule="auto"/>
              <w:rPr>
                <w:rFonts w:eastAsia="Times New Roman"/>
                <w:szCs w:val="28"/>
              </w:rPr>
            </w:pPr>
          </w:p>
        </w:tc>
      </w:tr>
      <w:tr w:rsidR="00171476" w:rsidRPr="00171476" w14:paraId="33AE5C55" w14:textId="77777777" w:rsidTr="00ED24AA">
        <w:trPr>
          <w:cantSplit/>
          <w:trHeight w:val="1458"/>
        </w:trPr>
        <w:tc>
          <w:tcPr>
            <w:tcW w:w="5310" w:type="dxa"/>
          </w:tcPr>
          <w:p w14:paraId="5EDB459C" w14:textId="77777777" w:rsidR="00171476" w:rsidRPr="00171476" w:rsidRDefault="00171476" w:rsidP="00171476">
            <w:pPr>
              <w:spacing w:before="100" w:after="48" w:line="240" w:lineRule="auto"/>
              <w:rPr>
                <w:rFonts w:eastAsia="Times New Roman"/>
                <w:szCs w:val="28"/>
              </w:rPr>
            </w:pPr>
            <w:r w:rsidRPr="00171476">
              <w:rPr>
                <w:rFonts w:eastAsia="Times New Roman"/>
                <w:b/>
                <w:bCs/>
                <w:szCs w:val="28"/>
              </w:rPr>
              <w:tab/>
            </w:r>
            <w:r w:rsidRPr="00171476">
              <w:rPr>
                <w:rFonts w:eastAsia="Times New Roman"/>
                <w:szCs w:val="28"/>
              </w:rPr>
              <w:t xml:space="preserve">For </w:t>
            </w:r>
            <w:sdt>
              <w:sdtPr>
                <w:rPr>
                  <w:rFonts w:eastAsia="Times New Roman"/>
                  <w:szCs w:val="28"/>
                </w:rPr>
                <w:id w:val="1280833705"/>
                <w:placeholder>
                  <w:docPart w:val="563C9EB089FE4C328E80B3A861A03EF7"/>
                </w:placeholder>
                <w:text/>
              </w:sdtPr>
              <w:sdtEndPr/>
              <w:sdtContent>
                <w:r w:rsidRPr="00171476">
                  <w:rPr>
                    <w:rFonts w:eastAsia="Times New Roman"/>
                    <w:szCs w:val="28"/>
                  </w:rPr>
                  <w:t>Respondent, in pro. per:</w:t>
                </w:r>
              </w:sdtContent>
            </w:sdt>
          </w:p>
        </w:tc>
        <w:tc>
          <w:tcPr>
            <w:tcW w:w="4140" w:type="dxa"/>
          </w:tcPr>
          <w:sdt>
            <w:sdtPr>
              <w:rPr>
                <w:rFonts w:eastAsia="Times New Roman"/>
                <w:szCs w:val="28"/>
              </w:rPr>
              <w:id w:val="1627428901"/>
              <w:placeholder>
                <w:docPart w:val="563C9EB089FE4C328E80B3A861A03EF7"/>
              </w:placeholder>
              <w:text/>
            </w:sdtPr>
            <w:sdtEndPr/>
            <w:sdtContent>
              <w:p w14:paraId="1D0A6AC2" w14:textId="77777777" w:rsidR="00171476" w:rsidRPr="00171476" w:rsidRDefault="00171476" w:rsidP="00171476">
                <w:pPr>
                  <w:spacing w:line="240" w:lineRule="auto"/>
                  <w:rPr>
                    <w:rFonts w:eastAsia="Times New Roman"/>
                    <w:szCs w:val="28"/>
                  </w:rPr>
                </w:pPr>
                <w:r w:rsidRPr="00171476">
                  <w:rPr>
                    <w:rFonts w:eastAsia="Times New Roman"/>
                    <w:szCs w:val="28"/>
                  </w:rPr>
                  <w:t>Respondent EE</w:t>
                </w:r>
              </w:p>
            </w:sdtContent>
          </w:sdt>
        </w:tc>
      </w:tr>
    </w:tbl>
    <w:p w14:paraId="4F1B2405" w14:textId="1BE69F7B" w:rsidR="009D2190" w:rsidRDefault="009D2190" w:rsidP="00171476">
      <w:pPr>
        <w:pStyle w:val="Heading1"/>
        <w:numPr>
          <w:ilvl w:val="0"/>
          <w:numId w:val="0"/>
        </w:numPr>
        <w:jc w:val="left"/>
      </w:pPr>
    </w:p>
    <w:sectPr w:rsidR="009D2190"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502F" w14:textId="77777777" w:rsidR="00132BC1" w:rsidRDefault="00132BC1" w:rsidP="00055C8A">
      <w:r>
        <w:separator/>
      </w:r>
    </w:p>
  </w:endnote>
  <w:endnote w:type="continuationSeparator" w:id="0">
    <w:p w14:paraId="6C36A6C0" w14:textId="77777777" w:rsidR="00132BC1" w:rsidRDefault="00132BC1"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73686943"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7F31" w14:textId="77777777" w:rsidR="00784251" w:rsidRDefault="00784251">
    <w:pPr>
      <w:pStyle w:val="Footer"/>
      <w:jc w:val="center"/>
    </w:pPr>
  </w:p>
  <w:p w14:paraId="3FD758E9"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82FB" w14:textId="77777777" w:rsidR="00132BC1" w:rsidRPr="004F7297" w:rsidRDefault="00132BC1" w:rsidP="004F7297">
      <w:pPr>
        <w:pStyle w:val="Footer"/>
        <w:spacing w:line="240" w:lineRule="auto"/>
      </w:pPr>
      <w:r w:rsidRPr="004F7297">
        <w:separator/>
      </w:r>
      <w:r>
        <w:t xml:space="preserve"> </w:t>
      </w:r>
    </w:p>
  </w:footnote>
  <w:footnote w:type="continuationSeparator" w:id="0">
    <w:p w14:paraId="1CFF9C3F" w14:textId="77777777" w:rsidR="00132BC1" w:rsidRPr="000308F7" w:rsidRDefault="00132BC1" w:rsidP="000308F7">
      <w:pPr>
        <w:pStyle w:val="Footer"/>
      </w:pPr>
    </w:p>
  </w:footnote>
  <w:footnote w:type="continuationNotice" w:id="1">
    <w:p w14:paraId="1BD6C063" w14:textId="77777777" w:rsidR="00132BC1" w:rsidRDefault="00132BC1">
      <w:pPr>
        <w:spacing w:line="240" w:lineRule="auto"/>
      </w:pPr>
    </w:p>
  </w:footnote>
  <w:footnote w:id="2">
    <w:p w14:paraId="3E77C9DD" w14:textId="6DC63C8A" w:rsidR="007A063D" w:rsidRDefault="007A063D">
      <w:pPr>
        <w:pStyle w:val="FootnoteText"/>
      </w:pPr>
      <w:r>
        <w:rPr>
          <w:rStyle w:val="FootnoteReference"/>
        </w:rPr>
        <w:footnoteRef/>
      </w:r>
      <w:r>
        <w:t xml:space="preserve"> </w:t>
      </w:r>
      <w:r w:rsidR="00194F8C">
        <w:t xml:space="preserve">We do not identify </w:t>
      </w:r>
      <w:r w:rsidR="007478AE">
        <w:t xml:space="preserve">respondent by name as the underlying case </w:t>
      </w:r>
      <w:r w:rsidR="00EE53A7">
        <w:t>was dismissed.</w:t>
      </w:r>
    </w:p>
  </w:footnote>
  <w:footnote w:id="3">
    <w:p w14:paraId="75F9D87C" w14:textId="77777777" w:rsidR="006F25FE" w:rsidRDefault="006F25FE" w:rsidP="006F25FE">
      <w:pPr>
        <w:pStyle w:val="FootnoteText"/>
      </w:pPr>
      <w:r>
        <w:rPr>
          <w:rStyle w:val="FootnoteReference"/>
        </w:rPr>
        <w:footnoteRef/>
      </w:r>
      <w:r>
        <w:t xml:space="preserve"> A</w:t>
      </w:r>
      <w:r w:rsidRPr="0078224C">
        <w:t>ll fu</w:t>
      </w:r>
      <w:r>
        <w:t>rther</w:t>
      </w:r>
      <w:r w:rsidRPr="0078224C">
        <w:t xml:space="preserve"> references to </w:t>
      </w:r>
      <w:r>
        <w:t>rules are</w:t>
      </w:r>
      <w:r w:rsidRPr="0078224C">
        <w:t xml:space="preserve"> to the Rules of Procedure of the State Bar</w:t>
      </w:r>
      <w:r>
        <w:t xml:space="preserve"> of California unless otherwise noted</w:t>
      </w:r>
      <w:r w:rsidRPr="0078224C">
        <w:t>.</w:t>
      </w:r>
    </w:p>
  </w:footnote>
  <w:footnote w:id="4">
    <w:p w14:paraId="6483B43B" w14:textId="77777777" w:rsidR="006F25FE" w:rsidRDefault="006F25FE" w:rsidP="005C4940">
      <w:pPr>
        <w:pStyle w:val="FootnoteText"/>
        <w:spacing w:after="0"/>
      </w:pPr>
      <w:r>
        <w:rPr>
          <w:rStyle w:val="FootnoteReference"/>
        </w:rPr>
        <w:footnoteRef/>
      </w:r>
      <w:r>
        <w:t xml:space="preserve"> The hearing judge issued this order because the original order was sealed and unavailable to the public.</w:t>
      </w:r>
    </w:p>
  </w:footnote>
  <w:footnote w:id="5">
    <w:p w14:paraId="2BA6362B" w14:textId="77777777" w:rsidR="006F25FE" w:rsidRDefault="006F25FE" w:rsidP="005C4940">
      <w:pPr>
        <w:pStyle w:val="FootnoteText"/>
        <w:spacing w:after="0"/>
      </w:pPr>
      <w:r>
        <w:rPr>
          <w:rStyle w:val="FootnoteReference"/>
        </w:rPr>
        <w:footnoteRef/>
      </w:r>
      <w:r>
        <w:t xml:space="preserve"> </w:t>
      </w:r>
      <w:r w:rsidRPr="005A3A64">
        <w:t>In summary review proceedings</w:t>
      </w:r>
      <w:r>
        <w:t xml:space="preserve"> pursuant to rule 5.157(B)</w:t>
      </w:r>
      <w:r w:rsidRPr="005A3A64">
        <w:t xml:space="preserve">, the </w:t>
      </w:r>
      <w:r>
        <w:t xml:space="preserve">hearing </w:t>
      </w:r>
      <w:r w:rsidRPr="005A3A64">
        <w:t xml:space="preserve">judge’s material findings of fact are final and </w:t>
      </w:r>
      <w:r>
        <w:t xml:space="preserve">binding upon </w:t>
      </w:r>
      <w:r w:rsidRPr="005A3A64">
        <w:t>the parties</w:t>
      </w:r>
      <w:r>
        <w:t xml:space="preserve">, and, regarding this appeal and the parties’ arguments, </w:t>
      </w:r>
      <w:r w:rsidRPr="005A3A64">
        <w:t xml:space="preserve">the issues </w:t>
      </w:r>
      <w:r>
        <w:t>here will be</w:t>
      </w:r>
      <w:r w:rsidRPr="005A3A64">
        <w:t xml:space="preserve"> limited to </w:t>
      </w:r>
      <w:r>
        <w:t xml:space="preserve">whether </w:t>
      </w:r>
      <w:r w:rsidRPr="005A3A64">
        <w:t xml:space="preserve">the facts support conclusions of law different from those reached </w:t>
      </w:r>
      <w:r>
        <w:t xml:space="preserve">by the </w:t>
      </w:r>
      <w:r w:rsidRPr="005A3A64">
        <w:t>judge</w:t>
      </w:r>
      <w:r>
        <w:t xml:space="preserve"> </w:t>
      </w:r>
      <w:r w:rsidRPr="005A3A64">
        <w:t>or other questions of law.  If the parties do not raise an issue or contention, it is waived.  (Rule</w:t>
      </w:r>
      <w:r>
        <w:t> </w:t>
      </w:r>
      <w:r w:rsidRPr="005A3A64">
        <w:t>5.157(C).)</w:t>
      </w:r>
      <w:r>
        <w:t>)</w:t>
      </w:r>
    </w:p>
  </w:footnote>
  <w:footnote w:id="6">
    <w:p w14:paraId="2278D754" w14:textId="0E38A89A" w:rsidR="006F25FE" w:rsidRDefault="006F25FE" w:rsidP="005C4940">
      <w:pPr>
        <w:pStyle w:val="FootnoteText"/>
        <w:spacing w:before="120" w:after="0"/>
      </w:pPr>
      <w:r>
        <w:rPr>
          <w:rStyle w:val="FootnoteReference"/>
        </w:rPr>
        <w:footnoteRef/>
      </w:r>
      <w:r>
        <w:t xml:space="preserve"> In our February 2024 order, we noted that OCTC filed a request for summary review of the original order and that the hearing judge issued the amended order “clarifying the parameters of the sealing order and referring the matter to the Review Department.”  </w:t>
      </w:r>
    </w:p>
  </w:footnote>
  <w:footnote w:id="7">
    <w:p w14:paraId="10E984D7" w14:textId="1E43E73C" w:rsidR="006F25FE" w:rsidRDefault="006F25FE" w:rsidP="005C4940">
      <w:pPr>
        <w:pStyle w:val="FootnoteText"/>
        <w:spacing w:after="0"/>
      </w:pPr>
      <w:r>
        <w:rPr>
          <w:rStyle w:val="FootnoteReference"/>
        </w:rPr>
        <w:footnoteRef/>
      </w:r>
      <w:r>
        <w:t xml:space="preserve"> The original order and the amended order are identical in all respects, except for the additional language at the end of the amended order that clarified the documents that were to remain public after the record had been sealed and referred the matter to the Review Department to determine whether the 2023 Opinion should be </w:t>
      </w:r>
      <w:proofErr w:type="spellStart"/>
      <w:r>
        <w:t>depublished</w:t>
      </w:r>
      <w:proofErr w:type="spellEnd"/>
      <w:r>
        <w:t xml:space="preserve"> and sealed.</w:t>
      </w:r>
    </w:p>
  </w:footnote>
  <w:footnote w:id="8">
    <w:p w14:paraId="6999DEFB" w14:textId="2E0AADF5" w:rsidR="006F25FE" w:rsidRDefault="006F25FE" w:rsidP="005C4940">
      <w:pPr>
        <w:pStyle w:val="FootnoteText"/>
        <w:spacing w:after="0"/>
      </w:pPr>
      <w:r>
        <w:rPr>
          <w:rStyle w:val="FootnoteReference"/>
        </w:rPr>
        <w:footnoteRef/>
      </w:r>
      <w:r>
        <w:t xml:space="preserve"> Rule 5.151(A), which </w:t>
      </w:r>
      <w:r w:rsidR="00166066">
        <w:t xml:space="preserve">respondent </w:t>
      </w:r>
      <w:r>
        <w:t>uses to support his argument, is not germane as that rule is inapplicable to summary review proceedings, as stated in rule 5.157(D).</w:t>
      </w:r>
    </w:p>
  </w:footnote>
  <w:footnote w:id="9">
    <w:p w14:paraId="20ADCABD" w14:textId="483CC2DE" w:rsidR="006F25FE" w:rsidRDefault="006F25FE" w:rsidP="006F25FE">
      <w:pPr>
        <w:pStyle w:val="FootnoteText"/>
      </w:pPr>
      <w:r>
        <w:rPr>
          <w:rStyle w:val="FootnoteReference"/>
        </w:rPr>
        <w:footnoteRef/>
      </w:r>
      <w:r>
        <w:t xml:space="preserve"> </w:t>
      </w:r>
      <w:bookmarkStart w:id="7" w:name="_Hlk171529772"/>
      <w:r w:rsidRPr="00C35A64">
        <w:t xml:space="preserve">As to </w:t>
      </w:r>
      <w:r w:rsidR="002F4698">
        <w:t>respondent’s</w:t>
      </w:r>
      <w:r w:rsidR="002F4698" w:rsidRPr="00C35A64">
        <w:t xml:space="preserve"> </w:t>
      </w:r>
      <w:r w:rsidRPr="00C35A64">
        <w:t>argument that we lacked authority to issue our February 2024 order in a way that converted OCTC’s request for review to include issues not raised in its request</w:t>
      </w:r>
      <w:r>
        <w:t xml:space="preserve"> or that we lack authority to review the issues as raised by the </w:t>
      </w:r>
      <w:r w:rsidR="002F4698">
        <w:t>original</w:t>
      </w:r>
      <w:r>
        <w:t xml:space="preserve"> order</w:t>
      </w:r>
      <w:r w:rsidRPr="00C35A64">
        <w:t>, in light of our reasoning above, we consider this issue moot.</w:t>
      </w:r>
      <w:bookmarkEnd w:id="7"/>
    </w:p>
  </w:footnote>
  <w:footnote w:id="10">
    <w:p w14:paraId="46477FE3" w14:textId="77777777" w:rsidR="006F25FE" w:rsidRDefault="006F25FE" w:rsidP="006F25FE">
      <w:pPr>
        <w:pStyle w:val="FootnoteText"/>
      </w:pPr>
      <w:r>
        <w:rPr>
          <w:rStyle w:val="FootnoteReference"/>
        </w:rPr>
        <w:footnoteRef/>
      </w:r>
      <w:r>
        <w:t xml:space="preserve"> Penal Code section 632, subdivision (a), states, </w:t>
      </w:r>
      <w:r w:rsidRPr="00097259">
        <w:t>in relevant part</w:t>
      </w:r>
      <w:r>
        <w:t>, “</w:t>
      </w:r>
      <w:r w:rsidRPr="00862AB6">
        <w:t>A person who, intentionally and without the consent of all parties to a confidential communication, uses an electronic amplifying or recording device to eavesdrop upon or record the confidential communication</w:t>
      </w:r>
      <w:r>
        <w:t xml:space="preserve"> . . . </w:t>
      </w:r>
      <w:r w:rsidRPr="00862AB6">
        <w:t xml:space="preserve">shall be punished by a fine </w:t>
      </w:r>
      <w:r>
        <w:t xml:space="preserve">. . . </w:t>
      </w:r>
      <w:r w:rsidRPr="00862AB6">
        <w:t>or imprisonment in a county jail not exceeding one year, or in the state prison, or by both that fine and imprisonment.</w:t>
      </w:r>
      <w:r>
        <w:t>”</w:t>
      </w:r>
    </w:p>
  </w:footnote>
  <w:footnote w:id="11">
    <w:p w14:paraId="40020F64" w14:textId="75F2042C" w:rsidR="006F25FE" w:rsidRDefault="006F25FE" w:rsidP="005C4940">
      <w:pPr>
        <w:pStyle w:val="FootnoteText"/>
        <w:spacing w:after="0"/>
      </w:pPr>
      <w:r>
        <w:rPr>
          <w:rStyle w:val="FootnoteReference"/>
        </w:rPr>
        <w:footnoteRef/>
      </w:r>
      <w:r>
        <w:t xml:space="preserve"> </w:t>
      </w:r>
      <w:r w:rsidR="00E44963">
        <w:t xml:space="preserve">Respondent </w:t>
      </w:r>
      <w:r>
        <w:t xml:space="preserve">was initially charged </w:t>
      </w:r>
      <w:r w:rsidR="00E44963">
        <w:t>in</w:t>
      </w:r>
      <w:r>
        <w:t xml:space="preserve"> 2017</w:t>
      </w:r>
      <w:r w:rsidR="0043070C">
        <w:t>,</w:t>
      </w:r>
      <w:r>
        <w:t xml:space="preserve"> with violating Penal Code sections</w:t>
      </w:r>
      <w:r w:rsidR="002D3C13">
        <w:t> </w:t>
      </w:r>
      <w:r>
        <w:t>273.5, subdivision (a) (corporal injury to spouse or cohabitant), and 136.1, subdivision</w:t>
      </w:r>
      <w:r w:rsidR="00CE38A0">
        <w:t> </w:t>
      </w:r>
      <w:r>
        <w:t xml:space="preserve">(b)(2) (dissuading a witness from prosecuting a crime), which were later dismissed pursuant to his nolo contendere plea.  The </w:t>
      </w:r>
      <w:r w:rsidR="00BB575E">
        <w:t>i</w:t>
      </w:r>
      <w:r>
        <w:t>nformation was amended prior to his plea</w:t>
      </w:r>
      <w:r w:rsidR="0047081B">
        <w:t>,</w:t>
      </w:r>
      <w:r>
        <w:t xml:space="preserve"> add</w:t>
      </w:r>
      <w:r w:rsidR="0047081B">
        <w:t>ing</w:t>
      </w:r>
      <w:r>
        <w:t xml:space="preserve"> the Penal Code section 632, subdivision (a), charge.</w:t>
      </w:r>
    </w:p>
  </w:footnote>
  <w:footnote w:id="12">
    <w:p w14:paraId="2A1546B2" w14:textId="1D3A0515" w:rsidR="006F25FE" w:rsidRDefault="006F25FE" w:rsidP="006F25FE">
      <w:pPr>
        <w:pStyle w:val="FootnoteText"/>
      </w:pPr>
      <w:r>
        <w:rPr>
          <w:rStyle w:val="FootnoteReference"/>
        </w:rPr>
        <w:footnoteRef/>
      </w:r>
      <w:r>
        <w:t xml:space="preserve"> </w:t>
      </w:r>
      <w:r w:rsidR="003C27B3">
        <w:t xml:space="preserve">Respondent </w:t>
      </w:r>
      <w:r>
        <w:t>appealed the criminal conviction</w:t>
      </w:r>
      <w:r w:rsidRPr="003E2029">
        <w:t xml:space="preserve">, </w:t>
      </w:r>
      <w:r w:rsidRPr="00BD5B3E">
        <w:t>which was later affirmed.</w:t>
      </w:r>
      <w:r>
        <w:t xml:space="preserve">  In its opening brief, OCTC repeatedly raised </w:t>
      </w:r>
      <w:r w:rsidR="00F34F4A">
        <w:t xml:space="preserve">respondent’s </w:t>
      </w:r>
      <w:r>
        <w:t xml:space="preserve">waiver of finality for his conviction, though it never specified how his 2019 waiver affected the hearing judge’s order or amended order that were issued in December 2023.  Considering that a waiver of finality is merely one prerequisite to the Review Department referring a conviction matter to the Hearing Department, we see no relevance of the 2019 waiver to the </w:t>
      </w:r>
      <w:r w:rsidR="006F7110">
        <w:t>December 2023</w:t>
      </w:r>
      <w:r>
        <w:t xml:space="preserve"> orders on appeal.</w:t>
      </w:r>
    </w:p>
  </w:footnote>
  <w:footnote w:id="13">
    <w:p w14:paraId="0D45EC90" w14:textId="77777777" w:rsidR="006F25FE" w:rsidRDefault="006F25FE" w:rsidP="006F25FE">
      <w:pPr>
        <w:pStyle w:val="FootnoteText"/>
      </w:pPr>
      <w:r>
        <w:rPr>
          <w:rStyle w:val="FootnoteReference"/>
        </w:rPr>
        <w:footnoteRef/>
      </w:r>
      <w:r>
        <w:t xml:space="preserve"> All further references to sections are to the Business and Professions Code unless otherwise noted.</w:t>
      </w:r>
    </w:p>
  </w:footnote>
  <w:footnote w:id="14">
    <w:p w14:paraId="4E91183E" w14:textId="26BCC7F6" w:rsidR="006F25FE" w:rsidRPr="000E18E3" w:rsidRDefault="006F25FE" w:rsidP="005C4940">
      <w:pPr>
        <w:pStyle w:val="FootnoteText"/>
        <w:spacing w:after="0"/>
        <w:rPr>
          <w:i/>
          <w:iCs/>
        </w:rPr>
      </w:pPr>
      <w:r>
        <w:rPr>
          <w:rStyle w:val="FootnoteReference"/>
        </w:rPr>
        <w:footnoteRef/>
      </w:r>
      <w:r>
        <w:t xml:space="preserve"> Penal Code section 1203.4 provides a form of post-conviction relief that is generally granted for the successful completion of criminal probation.  As an expungement, such relief does not affect attorney discipline matters.  </w:t>
      </w:r>
      <w:r w:rsidRPr="009C1734">
        <w:t xml:space="preserve">(See </w:t>
      </w:r>
      <w:r w:rsidRPr="009C1734">
        <w:rPr>
          <w:i/>
        </w:rPr>
        <w:t xml:space="preserve">In the Matter of </w:t>
      </w:r>
      <w:proofErr w:type="spellStart"/>
      <w:r w:rsidRPr="009C1734">
        <w:rPr>
          <w:i/>
        </w:rPr>
        <w:t>Posthuma</w:t>
      </w:r>
      <w:proofErr w:type="spellEnd"/>
      <w:r w:rsidRPr="009C1734">
        <w:t xml:space="preserve"> (Review Dept. 1998) 3</w:t>
      </w:r>
      <w:r w:rsidR="00975DE1">
        <w:t> </w:t>
      </w:r>
      <w:r w:rsidRPr="009C1734">
        <w:t xml:space="preserve">Cal. State Bar Ct. Rptr. 813, 820, fn.7 [fact that conviction set aside under </w:t>
      </w:r>
      <w:r>
        <w:t>Pen. Code</w:t>
      </w:r>
      <w:r w:rsidR="000B1FB8">
        <w:t>,</w:t>
      </w:r>
      <w:r>
        <w:t xml:space="preserve"> </w:t>
      </w:r>
      <w:r w:rsidRPr="009C1734">
        <w:t>§</w:t>
      </w:r>
      <w:r w:rsidR="00975DE1">
        <w:t> </w:t>
      </w:r>
      <w:r w:rsidRPr="009C1734">
        <w:t>1203.4 does not affect finality of conviction for purpose of disciplinary proceeding].)</w:t>
      </w:r>
    </w:p>
  </w:footnote>
  <w:footnote w:id="15">
    <w:p w14:paraId="2F5BEAC0" w14:textId="537F6808" w:rsidR="006F25FE" w:rsidRDefault="006F25FE" w:rsidP="005C4940">
      <w:pPr>
        <w:pStyle w:val="FootnoteText"/>
        <w:spacing w:after="0"/>
      </w:pPr>
      <w:r>
        <w:rPr>
          <w:rStyle w:val="FootnoteReference"/>
        </w:rPr>
        <w:footnoteRef/>
      </w:r>
      <w:r>
        <w:t xml:space="preserve"> Prior to </w:t>
      </w:r>
      <w:r w:rsidR="005705CB">
        <w:t xml:space="preserve">respondent’s </w:t>
      </w:r>
      <w:r>
        <w:t xml:space="preserve">motion, he had earlier filed two motions in the Hearing Department that attempted to set aside the stipulation and public reproval order or remove the public reproval order from the State Bar’s website.  Both motions were ultimately denied by the Hearing Department.  All three motions raised issues that are not related to </w:t>
      </w:r>
      <w:r w:rsidR="007D1B4E">
        <w:t xml:space="preserve">his </w:t>
      </w:r>
      <w:r>
        <w:t>2023 motion</w:t>
      </w:r>
      <w:r w:rsidR="001C4854">
        <w:t xml:space="preserve"> at issue</w:t>
      </w:r>
      <w:r>
        <w:t xml:space="preserve"> and this appeal.</w:t>
      </w:r>
    </w:p>
  </w:footnote>
  <w:footnote w:id="16">
    <w:p w14:paraId="744994A0" w14:textId="332AFBCC" w:rsidR="006F25FE" w:rsidRDefault="006F25FE" w:rsidP="006F25FE">
      <w:pPr>
        <w:pStyle w:val="FootnoteText"/>
      </w:pPr>
      <w:r>
        <w:rPr>
          <w:rStyle w:val="FootnoteReference"/>
        </w:rPr>
        <w:footnoteRef/>
      </w:r>
      <w:r>
        <w:t xml:space="preserve"> Penal Code section 1385 provides, in relevant part, that a judge may, upon </w:t>
      </w:r>
      <w:r w:rsidR="005D0A9E">
        <w:t>“</w:t>
      </w:r>
      <w:r>
        <w:t>motion of the court . . . and in furtherance of justice, order an action to be dismissed.  The reasons for the dismissal shall be stated orally on the record.”  Penal Code section 1473.7, subdivision (a), provides, in relevant part, that “[a]</w:t>
      </w:r>
      <w:r w:rsidRPr="00890160">
        <w:t xml:space="preserve"> person who is no longer in criminal custody may file a motion to vacate a conviction or sentence</w:t>
      </w:r>
      <w:r>
        <w:t xml:space="preserve"> [when] . . . [n]</w:t>
      </w:r>
      <w:proofErr w:type="spellStart"/>
      <w:r w:rsidRPr="00890160">
        <w:t>ewly</w:t>
      </w:r>
      <w:proofErr w:type="spellEnd"/>
      <w:r w:rsidRPr="00890160">
        <w:t xml:space="preserve"> discovered evidence of actual innocence exists that requires vacation of the conviction or sentence as a matter of law or in the interests of justice.” </w:t>
      </w:r>
      <w:r>
        <w:t xml:space="preserve"> </w:t>
      </w:r>
      <w:r w:rsidRPr="00890160">
        <w:t>Subdivision (e)(4) of th</w:t>
      </w:r>
      <w:r>
        <w:t>e</w:t>
      </w:r>
      <w:r w:rsidRPr="00890160">
        <w:t xml:space="preserve"> statute</w:t>
      </w:r>
      <w:r>
        <w:t xml:space="preserve"> requires the court to “</w:t>
      </w:r>
      <w:r w:rsidRPr="00890160">
        <w:t>specify the basis for its conclusion.”</w:t>
      </w:r>
    </w:p>
  </w:footnote>
  <w:footnote w:id="17">
    <w:p w14:paraId="45D7A5E7" w14:textId="5790F7CB" w:rsidR="006F25FE" w:rsidRDefault="006F25FE" w:rsidP="006F25FE">
      <w:pPr>
        <w:pStyle w:val="FootnoteText"/>
      </w:pPr>
      <w:r>
        <w:rPr>
          <w:rStyle w:val="FootnoteReference"/>
        </w:rPr>
        <w:footnoteRef/>
      </w:r>
      <w:r>
        <w:t xml:space="preserve"> </w:t>
      </w:r>
      <w:r w:rsidRPr="00DD20F0">
        <w:t>OCTC contends</w:t>
      </w:r>
      <w:r>
        <w:t xml:space="preserve"> that the superior court judge did not follow the requirements of Penal Code sections</w:t>
      </w:r>
      <w:r w:rsidR="005D0A9E">
        <w:t> </w:t>
      </w:r>
      <w:r>
        <w:t xml:space="preserve">1385, subdivision (a), or 1473.7, subdivision (e)(4), thus implying that the </w:t>
      </w:r>
      <w:r w:rsidR="006B599B">
        <w:t>superior court</w:t>
      </w:r>
      <w:r>
        <w:t xml:space="preserve"> order was improperly issued.  </w:t>
      </w:r>
      <w:r w:rsidRPr="00DD20F0">
        <w:t>To the extent this is OCTC’s argument</w:t>
      </w:r>
      <w:r>
        <w:t xml:space="preserve">, we disagree and point out that Penal Code section 1385, subdivision (a), only requires that the reasons for a dismissal be set forth in the order “if requested by either party or . . . [where] the proceedings are not being recorded . . . or reported . . . .”  OCTC failed to note this requirement when it cited this subdivision to us and has not offered any evidence to demonstrate that either condition occurred.  Additionally, Penal Code section 1473.7, subdivision (e)(4), requires only that “the court shall specify the basis for its conclusion.”  The superior court judge appears to have done exactly that when he dismissed </w:t>
      </w:r>
      <w:r w:rsidR="006B599B">
        <w:t xml:space="preserve">respondent’s </w:t>
      </w:r>
      <w:r>
        <w:t xml:space="preserve">conviction based on a factual innocence finding. </w:t>
      </w:r>
    </w:p>
  </w:footnote>
  <w:footnote w:id="18">
    <w:p w14:paraId="7D04586B" w14:textId="6F7F181D" w:rsidR="006F25FE" w:rsidRPr="00E47534" w:rsidRDefault="006F25FE" w:rsidP="006F25FE">
      <w:pPr>
        <w:pStyle w:val="FootnoteText"/>
      </w:pPr>
      <w:r>
        <w:rPr>
          <w:rStyle w:val="FootnoteReference"/>
        </w:rPr>
        <w:footnoteRef/>
      </w:r>
      <w:r>
        <w:t xml:space="preserve"> We disagree with OCTC’s initial argument that the public reproval order was “final following a summary denial of review by the California Supreme Court . . . .”  </w:t>
      </w:r>
      <w:r w:rsidRPr="00E47534">
        <w:t>Pursuant to rule</w:t>
      </w:r>
      <w:r>
        <w:t> </w:t>
      </w:r>
      <w:r w:rsidRPr="00E47534">
        <w:t>5.127(A), the 2019 reproval order took effect when th</w:t>
      </w:r>
      <w:r>
        <w:t xml:space="preserve">at </w:t>
      </w:r>
      <w:r w:rsidRPr="00E47534">
        <w:t xml:space="preserve">order became final.  </w:t>
      </w:r>
      <w:r>
        <w:t>Under section 6084, subdivision (a), “</w:t>
      </w:r>
      <w:r w:rsidRPr="008D5FAC">
        <w:t>When no petition to review or to reverse or modify has been filed by either party within the time allowed therefor, or the petition has been denied, the decision or order of the State Bar Court shall be final and enforceable.</w:t>
      </w:r>
      <w:r>
        <w:t>”</w:t>
      </w:r>
      <w:r w:rsidRPr="008D5FAC">
        <w:t xml:space="preserve"> </w:t>
      </w:r>
      <w:r>
        <w:t xml:space="preserve"> </w:t>
      </w:r>
      <w:r w:rsidRPr="00E47534">
        <w:t xml:space="preserve">The </w:t>
      </w:r>
      <w:r>
        <w:t xml:space="preserve">public reproval </w:t>
      </w:r>
      <w:r w:rsidRPr="00E47534">
        <w:t>order was not appealed to the California Supreme Court.</w:t>
      </w:r>
    </w:p>
  </w:footnote>
  <w:footnote w:id="19">
    <w:p w14:paraId="2AC10858" w14:textId="77777777" w:rsidR="006F25FE" w:rsidRPr="00BB6D7E" w:rsidRDefault="006F25FE" w:rsidP="005C4940">
      <w:pPr>
        <w:pStyle w:val="FootnoteText"/>
        <w:spacing w:after="0"/>
      </w:pPr>
      <w:r w:rsidRPr="00E47534">
        <w:rPr>
          <w:rStyle w:val="FootnoteReference"/>
        </w:rPr>
        <w:footnoteRef/>
      </w:r>
      <w:r w:rsidRPr="00E47534">
        <w:t xml:space="preserve"> We, of course, have jurisdiction to consider jurisdictional issues that come before us. (</w:t>
      </w:r>
      <w:r w:rsidRPr="00E47534">
        <w:rPr>
          <w:i/>
          <w:iCs/>
        </w:rPr>
        <w:t>Rescue Army v. Municipal Court</w:t>
      </w:r>
      <w:r w:rsidRPr="00E47534">
        <w:t xml:space="preserve"> (1946) 28 Cal.2d 460, 464; </w:t>
      </w:r>
      <w:r w:rsidRPr="00E47534">
        <w:rPr>
          <w:i/>
          <w:iCs/>
        </w:rPr>
        <w:t>In the Matter of Applicant B</w:t>
      </w:r>
      <w:r w:rsidRPr="00E47534">
        <w:t xml:space="preserve"> (Review Dept. 2004) 4 Cal. State Bar Ct. Rptr.</w:t>
      </w:r>
      <w:r>
        <w:t xml:space="preserve"> 731, 734.) </w:t>
      </w:r>
    </w:p>
  </w:footnote>
  <w:footnote w:id="20">
    <w:p w14:paraId="4A69DB07" w14:textId="34E3FE2C" w:rsidR="006F25FE" w:rsidRPr="000C46AA" w:rsidRDefault="006F25FE" w:rsidP="006F25FE">
      <w:pPr>
        <w:pStyle w:val="FootnoteText"/>
      </w:pPr>
      <w:r>
        <w:rPr>
          <w:rStyle w:val="FootnoteReference"/>
        </w:rPr>
        <w:footnoteRef/>
      </w:r>
      <w:r>
        <w:t xml:space="preserve"> OCTC acknowledges that reprovals are issued by the State Bar Court under its own authority pursuant to section 6078.  Because we have issued the final order of a public reproval under our own authority (see § 6084, discussed </w:t>
      </w:r>
      <w:r>
        <w:rPr>
          <w:i/>
          <w:iCs/>
        </w:rPr>
        <w:t>ante</w:t>
      </w:r>
      <w:r>
        <w:t xml:space="preserve">), we retain jurisdiction to vacate, reverse, or modify our own orders.  (See </w:t>
      </w:r>
      <w:r>
        <w:rPr>
          <w:i/>
          <w:iCs/>
        </w:rPr>
        <w:t xml:space="preserve">In re Marriage of </w:t>
      </w:r>
      <w:proofErr w:type="spellStart"/>
      <w:r>
        <w:rPr>
          <w:i/>
          <w:iCs/>
        </w:rPr>
        <w:t>Rassier</w:t>
      </w:r>
      <w:proofErr w:type="spellEnd"/>
      <w:r>
        <w:rPr>
          <w:i/>
          <w:iCs/>
        </w:rPr>
        <w:t xml:space="preserve"> </w:t>
      </w:r>
      <w:r w:rsidRPr="001354AE">
        <w:t>(2002) 96 Cal.App.4th 1431, 1435-1436</w:t>
      </w:r>
      <w:r>
        <w:t xml:space="preserve"> [“</w:t>
      </w:r>
      <w:r w:rsidRPr="00473F1E">
        <w:t>Once a court obtains jurisdiction over the parties in an action and enters an order in that action, the court retains jurisdiction to vacate, reverse, or modify that order even if there is no other basis for jurisdiction over the parties at that tim</w:t>
      </w:r>
      <w:r>
        <w:t xml:space="preserve">e . . . . </w:t>
      </w:r>
      <w:r w:rsidR="001030D5">
        <w:t xml:space="preserve"> </w:t>
      </w:r>
      <w:r>
        <w:t>[Citation.]”)</w:t>
      </w:r>
    </w:p>
  </w:footnote>
  <w:footnote w:id="21">
    <w:p w14:paraId="5A048B2F" w14:textId="5264D8F9" w:rsidR="006F25FE" w:rsidRPr="00A811F4" w:rsidRDefault="006F25FE" w:rsidP="00BD7C20">
      <w:pPr>
        <w:pStyle w:val="FootnoteText"/>
        <w:spacing w:after="0"/>
      </w:pPr>
      <w:r>
        <w:rPr>
          <w:rStyle w:val="FootnoteReference"/>
        </w:rPr>
        <w:footnoteRef/>
      </w:r>
      <w:r>
        <w:t xml:space="preserve"> We likewise reject OCTC’s citations to </w:t>
      </w:r>
      <w:r>
        <w:rPr>
          <w:i/>
          <w:iCs/>
        </w:rPr>
        <w:t xml:space="preserve">In the Matter of Pyle </w:t>
      </w:r>
      <w:r>
        <w:t xml:space="preserve">(Review Dept. 1998) 3 Cal. State Bar Ct. Rptr. 929 and </w:t>
      </w:r>
      <w:r>
        <w:rPr>
          <w:i/>
          <w:iCs/>
        </w:rPr>
        <w:t xml:space="preserve">In the Matter of Thomas </w:t>
      </w:r>
      <w:r>
        <w:t>(Review Dept. 2022) 5</w:t>
      </w:r>
      <w:r w:rsidR="00E30771">
        <w:t> </w:t>
      </w:r>
      <w:r>
        <w:t>Cal. State Bar Ct. Rptr. 944 in supporting its collateral attack arguments as neither case involves a public reproval issued under our own authority.</w:t>
      </w:r>
    </w:p>
  </w:footnote>
  <w:footnote w:id="22">
    <w:p w14:paraId="7B5C7CA3" w14:textId="79CCFA8E" w:rsidR="006F25FE" w:rsidRDefault="006F25FE" w:rsidP="006F25FE">
      <w:pPr>
        <w:pStyle w:val="FootnoteText"/>
      </w:pPr>
      <w:r>
        <w:rPr>
          <w:rStyle w:val="FootnoteReference"/>
        </w:rPr>
        <w:footnoteRef/>
      </w:r>
      <w:r>
        <w:t xml:space="preserve"> As </w:t>
      </w:r>
      <w:r w:rsidR="00AC6590">
        <w:t xml:space="preserve">respondent </w:t>
      </w:r>
      <w:r>
        <w:t xml:space="preserve">has pointed out in his brief, case law indicates that a summary denial by the California Supreme Court reflects in this matter only a consideration of the merits </w:t>
      </w:r>
      <w:r w:rsidRPr="009C6343">
        <w:rPr>
          <w:i/>
          <w:iCs/>
        </w:rPr>
        <w:t>as presented in the petition</w:t>
      </w:r>
      <w:r>
        <w:t xml:space="preserve">.  (See </w:t>
      </w:r>
      <w:r>
        <w:rPr>
          <w:i/>
          <w:iCs/>
        </w:rPr>
        <w:t>In re Rose</w:t>
      </w:r>
      <w:r>
        <w:t xml:space="preserve">, </w:t>
      </w:r>
      <w:r>
        <w:rPr>
          <w:i/>
          <w:iCs/>
        </w:rPr>
        <w:t>supra</w:t>
      </w:r>
      <w:r>
        <w:t>, 22 Cal.4th at p. 445 [“[Supreme C]</w:t>
      </w:r>
      <w:proofErr w:type="spellStart"/>
      <w:r w:rsidRPr="00276B59">
        <w:t>ourt</w:t>
      </w:r>
      <w:r>
        <w:t>’</w:t>
      </w:r>
      <w:r w:rsidRPr="00276B59">
        <w:t>s</w:t>
      </w:r>
      <w:proofErr w:type="spellEnd"/>
      <w:r w:rsidRPr="00276B59">
        <w:t xml:space="preserve"> denial without written opinion of</w:t>
      </w:r>
      <w:r w:rsidR="004D5B10">
        <w:t xml:space="preserve"> an</w:t>
      </w:r>
      <w:r w:rsidRPr="00276B59">
        <w:t xml:space="preserve"> application to review</w:t>
      </w:r>
      <w:r w:rsidR="004D5B10">
        <w:t xml:space="preserve"> an</w:t>
      </w:r>
      <w:r w:rsidRPr="00276B59">
        <w:t xml:space="preserve"> order of the Railroad Commission constituted a determination on the merits of the questions </w:t>
      </w:r>
      <w:r w:rsidRPr="0000122A">
        <w:rPr>
          <w:i/>
          <w:iCs/>
        </w:rPr>
        <w:t>presented by the application</w:t>
      </w:r>
      <w:r>
        <w:t>.”  (Italics added.)])</w:t>
      </w:r>
    </w:p>
  </w:footnote>
  <w:footnote w:id="23">
    <w:p w14:paraId="26266F01" w14:textId="0FF05E94" w:rsidR="006F25FE" w:rsidRPr="00131562" w:rsidRDefault="006F25FE" w:rsidP="00BD7C20">
      <w:pPr>
        <w:pStyle w:val="FootnoteText"/>
        <w:spacing w:after="0"/>
      </w:pPr>
      <w:r>
        <w:rPr>
          <w:rStyle w:val="FootnoteReference"/>
        </w:rPr>
        <w:footnoteRef/>
      </w:r>
      <w:r>
        <w:t xml:space="preserve"> We recognize that the California Supreme Court “exercise</w:t>
      </w:r>
      <w:r w:rsidR="009838E7">
        <w:t>[</w:t>
      </w:r>
      <w:r>
        <w:t>s</w:t>
      </w:r>
      <w:r w:rsidR="009838E7">
        <w:t>]</w:t>
      </w:r>
      <w:r>
        <w:t xml:space="preserve"> original jurisdiction over disciplinary proceedings . . . [and] the State Bar is subject to [its] expressly reserved, primary and inherent regulatory authority over attorney discipline . . . .  [Citation.]”  (</w:t>
      </w:r>
      <w:r>
        <w:rPr>
          <w:i/>
          <w:iCs/>
        </w:rPr>
        <w:t>In re Rose</w:t>
      </w:r>
      <w:r>
        <w:t xml:space="preserve">, </w:t>
      </w:r>
      <w:r>
        <w:rPr>
          <w:i/>
          <w:iCs/>
        </w:rPr>
        <w:t>supra</w:t>
      </w:r>
      <w:r w:rsidRPr="009838E7">
        <w:t>,</w:t>
      </w:r>
      <w:r>
        <w:t xml:space="preserve"> 22</w:t>
      </w:r>
      <w:r w:rsidR="009838E7">
        <w:t> </w:t>
      </w:r>
      <w:r>
        <w:t>Cal.4th at p. 442.)</w:t>
      </w:r>
    </w:p>
  </w:footnote>
  <w:footnote w:id="24">
    <w:p w14:paraId="2B7D4185" w14:textId="77777777" w:rsidR="006F25FE" w:rsidRDefault="006F25FE" w:rsidP="00BD7C20">
      <w:pPr>
        <w:pStyle w:val="FootnoteText"/>
        <w:spacing w:after="0"/>
      </w:pPr>
      <w:r>
        <w:rPr>
          <w:rStyle w:val="FootnoteReference"/>
        </w:rPr>
        <w:footnoteRef/>
      </w:r>
      <w:r>
        <w:t xml:space="preserve"> Section 6101, subdivision (a), states, “Conviction of a felony or misdemeanor, involving moral turpitude, constitutes a cause for disbarment or suspension.  In any proceeding, whether under this article or otherwise, to disbar or suspend an attorney on account of that conviction, the record of conviction shall be conclusive evidence of guilt of the crime of which they have been convicted.”</w:t>
      </w:r>
    </w:p>
  </w:footnote>
  <w:footnote w:id="25">
    <w:p w14:paraId="7F476214" w14:textId="2474C2D1" w:rsidR="006F25FE" w:rsidRPr="0004292E" w:rsidRDefault="006F25FE" w:rsidP="006F25FE">
      <w:pPr>
        <w:pStyle w:val="FootnoteText"/>
      </w:pPr>
      <w:r>
        <w:rPr>
          <w:rStyle w:val="FootnoteReference"/>
        </w:rPr>
        <w:footnoteRef/>
      </w:r>
      <w:r>
        <w:t xml:space="preserve"> As the hearing judge noted, case law establishes that “the dismissal of criminal charges does not necessarily preclude the State Bar from basing disciplinary charges upon the same acts as charged in the criminal action.”  (See </w:t>
      </w:r>
      <w:r>
        <w:rPr>
          <w:i/>
          <w:iCs/>
        </w:rPr>
        <w:t>Emslie v. State Bar</w:t>
      </w:r>
      <w:r>
        <w:t xml:space="preserve"> (1974) 11 Cal.3d 210, 224 [dismissal of charges in Nevada for insufficient evidence did not preclude disciplinary proceedings upon same acts charged in criminal action]; </w:t>
      </w:r>
      <w:r>
        <w:rPr>
          <w:i/>
          <w:iCs/>
        </w:rPr>
        <w:t>Wong v. State Bar</w:t>
      </w:r>
      <w:r>
        <w:t xml:space="preserve"> (1975) 15 Cal.3d 528, 531 [disciplinary proceedings after acquittal of charges may be maintained covering same facts].)  In our review of both cases, neither was a conviction referral matter pursuant to section</w:t>
      </w:r>
      <w:r w:rsidR="00442E81">
        <w:t> </w:t>
      </w:r>
      <w:r>
        <w:t>6101.</w:t>
      </w:r>
    </w:p>
  </w:footnote>
  <w:footnote w:id="26">
    <w:p w14:paraId="708AA681" w14:textId="3FA28061" w:rsidR="006F25FE" w:rsidRDefault="006F25FE" w:rsidP="00BD7C20">
      <w:pPr>
        <w:pStyle w:val="FootnoteText"/>
        <w:spacing w:after="0"/>
      </w:pPr>
      <w:r>
        <w:rPr>
          <w:rStyle w:val="FootnoteReference"/>
        </w:rPr>
        <w:footnoteRef/>
      </w:r>
      <w:r>
        <w:t xml:space="preserve"> Standard 1.1 provides, in relevant part that, “The Standards for Attorney Sanction for Professional Misconduct . . . help fulfill the primary purposes of discipline, which include: (a)</w:t>
      </w:r>
      <w:r w:rsidR="00B57055">
        <w:t> </w:t>
      </w:r>
      <w:r>
        <w:t>protection of the public, the courts and the legal profession; (b) maintenance of the highest professional standards; and (c) preservation of public confidence in the legal profession.”</w:t>
      </w:r>
    </w:p>
  </w:footnote>
  <w:footnote w:id="27">
    <w:p w14:paraId="12228BD7" w14:textId="77777777" w:rsidR="006F25FE" w:rsidRDefault="006F25FE" w:rsidP="00BD7C20">
      <w:pPr>
        <w:pStyle w:val="FootnoteText"/>
        <w:spacing w:after="0"/>
      </w:pPr>
      <w:r>
        <w:rPr>
          <w:rStyle w:val="FootnoteReference"/>
        </w:rPr>
        <w:footnoteRef/>
      </w:r>
      <w:r>
        <w:t xml:space="preserve"> Any arguments raised on summary review, but not specifically addressed in this opinion, have been considered and rejected as meritless.</w:t>
      </w:r>
    </w:p>
  </w:footnote>
  <w:footnote w:id="28">
    <w:p w14:paraId="525B7D03" w14:textId="09CDAA95" w:rsidR="006F25FE" w:rsidRPr="00425ACA" w:rsidRDefault="006F25FE" w:rsidP="00BD7C20">
      <w:pPr>
        <w:pStyle w:val="FootnoteText"/>
        <w:spacing w:after="0"/>
      </w:pPr>
      <w:r>
        <w:rPr>
          <w:rStyle w:val="FootnoteReference"/>
        </w:rPr>
        <w:footnoteRef/>
      </w:r>
      <w:r>
        <w:t xml:space="preserve"> Rule 5.127(B) is not relevant because, as we have discussed </w:t>
      </w:r>
      <w:r>
        <w:rPr>
          <w:i/>
          <w:iCs/>
        </w:rPr>
        <w:t>ante</w:t>
      </w:r>
      <w:r>
        <w:t xml:space="preserve">, we agree with the hearing judge that the 2019 public reproval order should be vacated.  Besides </w:t>
      </w:r>
      <w:proofErr w:type="gramStart"/>
      <w:r>
        <w:t>its</w:t>
      </w:r>
      <w:proofErr w:type="gramEnd"/>
      <w:r>
        <w:t xml:space="preserve"> cite to rule 5.4(16), which is the definition of “confidential information,” OCTC fails to explain how this definition applies in this matter.  Regarding our </w:t>
      </w:r>
      <w:r w:rsidR="00F01388">
        <w:t xml:space="preserve">2023 </w:t>
      </w:r>
      <w:r>
        <w:t xml:space="preserve">Opinion, we address this issue, </w:t>
      </w:r>
      <w:r>
        <w:rPr>
          <w:i/>
          <w:iCs/>
        </w:rPr>
        <w:t>infra</w:t>
      </w:r>
      <w:r>
        <w:t>.  Regarding the California Supreme Court order and records, we offer no opinion on our superior tribunal’s operations.  Finally, we do not see the relevancy of section 6092.5, subdivision (e), to this matter as the issue we consider here does not concern expungement.</w:t>
      </w:r>
    </w:p>
  </w:footnote>
  <w:footnote w:id="29">
    <w:p w14:paraId="6865CF79" w14:textId="030DA006" w:rsidR="004F08D9" w:rsidRDefault="004F08D9">
      <w:pPr>
        <w:pStyle w:val="FootnoteText"/>
      </w:pPr>
      <w:r>
        <w:rPr>
          <w:rStyle w:val="FootnoteReference"/>
        </w:rPr>
        <w:footnoteRef/>
      </w:r>
      <w:r>
        <w:t xml:space="preserve"> </w:t>
      </w:r>
      <w:r w:rsidRPr="004F08D9">
        <w:t>A separate version of this opinion including identifying information is filed under seal.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019F"/>
    <w:multiLevelType w:val="multilevel"/>
    <w:tmpl w:val="4D6C8812"/>
    <w:styleLink w:val="Headings"/>
    <w:lvl w:ilvl="0">
      <w:start w:val="1"/>
      <w:numFmt w:val="upperRoman"/>
      <w:pStyle w:val="Heading1"/>
      <w:suff w:val="space"/>
      <w:lvlText w:val="%1.  "/>
      <w:lvlJc w:val="center"/>
      <w:pPr>
        <w:ind w:left="0" w:firstLine="288"/>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135E2F"/>
    <w:multiLevelType w:val="multilevel"/>
    <w:tmpl w:val="4D6C8812"/>
    <w:numStyleLink w:val="Headings"/>
  </w:abstractNum>
  <w:abstractNum w:abstractNumId="4" w15:restartNumberingAfterBreak="0">
    <w:nsid w:val="190A479D"/>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15:restartNumberingAfterBreak="0">
    <w:nsid w:val="1FD435BD"/>
    <w:multiLevelType w:val="multilevel"/>
    <w:tmpl w:val="4D6C8812"/>
    <w:numStyleLink w:val="Headings"/>
  </w:abstractNum>
  <w:abstractNum w:abstractNumId="8"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F01DE"/>
    <w:multiLevelType w:val="hybridMultilevel"/>
    <w:tmpl w:val="642C73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15:restartNumberingAfterBreak="0">
    <w:nsid w:val="2BC72EEA"/>
    <w:multiLevelType w:val="multilevel"/>
    <w:tmpl w:val="4D6C8812"/>
    <w:numStyleLink w:val="Headings"/>
  </w:abstractNum>
  <w:abstractNum w:abstractNumId="13" w15:restartNumberingAfterBreak="0">
    <w:nsid w:val="2D3C089B"/>
    <w:multiLevelType w:val="hybridMultilevel"/>
    <w:tmpl w:val="3710F0A6"/>
    <w:lvl w:ilvl="0" w:tplc="611844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7"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8"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D0381"/>
    <w:multiLevelType w:val="multilevel"/>
    <w:tmpl w:val="4D6C8812"/>
    <w:numStyleLink w:val="Headings"/>
  </w:abstractNum>
  <w:abstractNum w:abstractNumId="20"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007E6"/>
    <w:multiLevelType w:val="hybridMultilevel"/>
    <w:tmpl w:val="4134B23E"/>
    <w:lvl w:ilvl="0" w:tplc="23002A2E">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940D72"/>
    <w:multiLevelType w:val="multilevel"/>
    <w:tmpl w:val="4D6C8812"/>
    <w:numStyleLink w:val="Headings"/>
  </w:abstractNum>
  <w:abstractNum w:abstractNumId="24"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5"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43FA0"/>
    <w:multiLevelType w:val="hybridMultilevel"/>
    <w:tmpl w:val="02A268BE"/>
    <w:lvl w:ilvl="0" w:tplc="DED2DA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882716123">
    <w:abstractNumId w:val="20"/>
  </w:num>
  <w:num w:numId="2" w16cid:durableId="420680347">
    <w:abstractNumId w:val="18"/>
  </w:num>
  <w:num w:numId="3" w16cid:durableId="966157666">
    <w:abstractNumId w:val="9"/>
  </w:num>
  <w:num w:numId="4" w16cid:durableId="484661747">
    <w:abstractNumId w:val="27"/>
  </w:num>
  <w:num w:numId="5" w16cid:durableId="1734502494">
    <w:abstractNumId w:val="8"/>
  </w:num>
  <w:num w:numId="6" w16cid:durableId="834035563">
    <w:abstractNumId w:val="21"/>
  </w:num>
  <w:num w:numId="7" w16cid:durableId="1507743089">
    <w:abstractNumId w:val="15"/>
  </w:num>
  <w:num w:numId="8" w16cid:durableId="1863933771">
    <w:abstractNumId w:val="14"/>
  </w:num>
  <w:num w:numId="9" w16cid:durableId="1630552243">
    <w:abstractNumId w:val="25"/>
  </w:num>
  <w:num w:numId="10" w16cid:durableId="116488163">
    <w:abstractNumId w:val="24"/>
  </w:num>
  <w:num w:numId="11" w16cid:durableId="1136068887">
    <w:abstractNumId w:val="17"/>
  </w:num>
  <w:num w:numId="12" w16cid:durableId="706490734">
    <w:abstractNumId w:val="11"/>
  </w:num>
  <w:num w:numId="13" w16cid:durableId="239557790">
    <w:abstractNumId w:val="31"/>
  </w:num>
  <w:num w:numId="14" w16cid:durableId="139661034">
    <w:abstractNumId w:val="26"/>
  </w:num>
  <w:num w:numId="15" w16cid:durableId="682822722">
    <w:abstractNumId w:val="16"/>
  </w:num>
  <w:num w:numId="16" w16cid:durableId="593125076">
    <w:abstractNumId w:val="6"/>
  </w:num>
  <w:num w:numId="17" w16cid:durableId="2006278029">
    <w:abstractNumId w:val="0"/>
  </w:num>
  <w:num w:numId="18" w16cid:durableId="1823958345">
    <w:abstractNumId w:val="30"/>
  </w:num>
  <w:num w:numId="19" w16cid:durableId="18089073">
    <w:abstractNumId w:val="1"/>
  </w:num>
  <w:num w:numId="20" w16cid:durableId="1925644500">
    <w:abstractNumId w:val="5"/>
  </w:num>
  <w:num w:numId="21" w16cid:durableId="309598706">
    <w:abstractNumId w:val="29"/>
  </w:num>
  <w:num w:numId="22" w16cid:durableId="833452276">
    <w:abstractNumId w:val="2"/>
    <w:lvlOverride w:ilvl="0">
      <w:lvl w:ilvl="0">
        <w:start w:val="1"/>
        <w:numFmt w:val="upperRoman"/>
        <w:pStyle w:val="Heading1"/>
        <w:lvlText w:val="%1."/>
        <w:lvlJc w:val="center"/>
        <w:pPr>
          <w:ind w:left="360" w:hanging="72"/>
        </w:pPr>
        <w:rPr>
          <w:rFonts w:hint="default"/>
        </w:rPr>
      </w:lvl>
    </w:lvlOverride>
  </w:num>
  <w:num w:numId="23" w16cid:durableId="69933469">
    <w:abstractNumId w:val="2"/>
    <w:lvlOverride w:ilvl="0">
      <w:lvl w:ilvl="0">
        <w:start w:val="1"/>
        <w:numFmt w:val="upperRoman"/>
        <w:pStyle w:val="Heading1"/>
        <w:lvlText w:val="%1."/>
        <w:lvlJc w:val="center"/>
        <w:pPr>
          <w:ind w:left="360" w:hanging="72"/>
        </w:pPr>
        <w:rPr>
          <w:rFonts w:hint="default"/>
        </w:rPr>
      </w:lvl>
    </w:lvlOverride>
  </w:num>
  <w:num w:numId="24" w16cid:durableId="1060790194">
    <w:abstractNumId w:val="2"/>
    <w:lvlOverride w:ilvl="0">
      <w:lvl w:ilvl="0">
        <w:start w:val="1"/>
        <w:numFmt w:val="upperRoman"/>
        <w:pStyle w:val="Heading1"/>
        <w:lvlText w:val="%1."/>
        <w:lvlJc w:val="center"/>
        <w:pPr>
          <w:ind w:left="360" w:hanging="72"/>
        </w:pPr>
        <w:rPr>
          <w:rFonts w:hint="default"/>
        </w:rPr>
      </w:lvl>
    </w:lvlOverride>
  </w:num>
  <w:num w:numId="25" w16cid:durableId="121654314">
    <w:abstractNumId w:val="2"/>
  </w:num>
  <w:num w:numId="26" w16cid:durableId="494537552">
    <w:abstractNumId w:val="7"/>
  </w:num>
  <w:num w:numId="27" w16cid:durableId="1481192543">
    <w:abstractNumId w:val="22"/>
  </w:num>
  <w:num w:numId="28" w16cid:durableId="981033225">
    <w:abstractNumId w:val="22"/>
    <w:lvlOverride w:ilvl="0">
      <w:startOverride w:val="1"/>
    </w:lvlOverride>
  </w:num>
  <w:num w:numId="29" w16cid:durableId="119301498">
    <w:abstractNumId w:val="19"/>
  </w:num>
  <w:num w:numId="30" w16cid:durableId="2015762135">
    <w:abstractNumId w:val="23"/>
  </w:num>
  <w:num w:numId="31" w16cid:durableId="1466041677">
    <w:abstractNumId w:val="3"/>
  </w:num>
  <w:num w:numId="32" w16cid:durableId="1124419826">
    <w:abstractNumId w:val="12"/>
  </w:num>
  <w:num w:numId="33" w16cid:durableId="401148757">
    <w:abstractNumId w:val="4"/>
  </w:num>
  <w:num w:numId="34" w16cid:durableId="386225198">
    <w:abstractNumId w:val="10"/>
  </w:num>
  <w:num w:numId="35" w16cid:durableId="88744740">
    <w:abstractNumId w:val="28"/>
  </w:num>
  <w:num w:numId="36" w16cid:durableId="14496640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E9"/>
    <w:rsid w:val="00007BEB"/>
    <w:rsid w:val="000161FD"/>
    <w:rsid w:val="00027125"/>
    <w:rsid w:val="000308F7"/>
    <w:rsid w:val="00032ED7"/>
    <w:rsid w:val="0003339E"/>
    <w:rsid w:val="00033C92"/>
    <w:rsid w:val="00033F53"/>
    <w:rsid w:val="000432A2"/>
    <w:rsid w:val="000469FB"/>
    <w:rsid w:val="00055C8A"/>
    <w:rsid w:val="000564FC"/>
    <w:rsid w:val="00065A44"/>
    <w:rsid w:val="00066F26"/>
    <w:rsid w:val="00070A43"/>
    <w:rsid w:val="00071315"/>
    <w:rsid w:val="00073E72"/>
    <w:rsid w:val="00076FB9"/>
    <w:rsid w:val="00082012"/>
    <w:rsid w:val="00085D2A"/>
    <w:rsid w:val="000910D3"/>
    <w:rsid w:val="00092189"/>
    <w:rsid w:val="000A5822"/>
    <w:rsid w:val="000B1FB8"/>
    <w:rsid w:val="000B3BA7"/>
    <w:rsid w:val="000C4D16"/>
    <w:rsid w:val="000C7D23"/>
    <w:rsid w:val="000E0A7C"/>
    <w:rsid w:val="000E2148"/>
    <w:rsid w:val="000E23F8"/>
    <w:rsid w:val="000E5AEA"/>
    <w:rsid w:val="000F10B6"/>
    <w:rsid w:val="000F77C5"/>
    <w:rsid w:val="00101B3C"/>
    <w:rsid w:val="001030D5"/>
    <w:rsid w:val="0011521C"/>
    <w:rsid w:val="001177E8"/>
    <w:rsid w:val="00126A4D"/>
    <w:rsid w:val="00132BC1"/>
    <w:rsid w:val="00137C71"/>
    <w:rsid w:val="00140238"/>
    <w:rsid w:val="00140BF9"/>
    <w:rsid w:val="0015491C"/>
    <w:rsid w:val="0015497C"/>
    <w:rsid w:val="00160894"/>
    <w:rsid w:val="001633B2"/>
    <w:rsid w:val="00166066"/>
    <w:rsid w:val="00171476"/>
    <w:rsid w:val="001723D7"/>
    <w:rsid w:val="00175C1C"/>
    <w:rsid w:val="00182834"/>
    <w:rsid w:val="00185177"/>
    <w:rsid w:val="0018610B"/>
    <w:rsid w:val="00194F8C"/>
    <w:rsid w:val="00196802"/>
    <w:rsid w:val="001A3082"/>
    <w:rsid w:val="001A349B"/>
    <w:rsid w:val="001A6CD9"/>
    <w:rsid w:val="001B0733"/>
    <w:rsid w:val="001B12A4"/>
    <w:rsid w:val="001B1B0D"/>
    <w:rsid w:val="001B208B"/>
    <w:rsid w:val="001B21D2"/>
    <w:rsid w:val="001B21E7"/>
    <w:rsid w:val="001B2F99"/>
    <w:rsid w:val="001B3B9E"/>
    <w:rsid w:val="001B5111"/>
    <w:rsid w:val="001C0964"/>
    <w:rsid w:val="001C31C3"/>
    <w:rsid w:val="001C4854"/>
    <w:rsid w:val="001D3A28"/>
    <w:rsid w:val="001D4BCD"/>
    <w:rsid w:val="001D69C0"/>
    <w:rsid w:val="001D7AF8"/>
    <w:rsid w:val="001E18BA"/>
    <w:rsid w:val="001E1D79"/>
    <w:rsid w:val="001E595A"/>
    <w:rsid w:val="001E5A9B"/>
    <w:rsid w:val="001E64A0"/>
    <w:rsid w:val="001F78F0"/>
    <w:rsid w:val="00202FD6"/>
    <w:rsid w:val="00203644"/>
    <w:rsid w:val="00223504"/>
    <w:rsid w:val="00223BF0"/>
    <w:rsid w:val="00224D6E"/>
    <w:rsid w:val="00232285"/>
    <w:rsid w:val="00234D03"/>
    <w:rsid w:val="0023766E"/>
    <w:rsid w:val="0024299E"/>
    <w:rsid w:val="00243A9D"/>
    <w:rsid w:val="00244A80"/>
    <w:rsid w:val="002464C0"/>
    <w:rsid w:val="002508B4"/>
    <w:rsid w:val="002518C1"/>
    <w:rsid w:val="00252C67"/>
    <w:rsid w:val="00252E6E"/>
    <w:rsid w:val="00253F12"/>
    <w:rsid w:val="00256F0F"/>
    <w:rsid w:val="00260B0D"/>
    <w:rsid w:val="00264419"/>
    <w:rsid w:val="00265C29"/>
    <w:rsid w:val="002752CD"/>
    <w:rsid w:val="0028625D"/>
    <w:rsid w:val="002871B4"/>
    <w:rsid w:val="002933A5"/>
    <w:rsid w:val="00293579"/>
    <w:rsid w:val="002A010C"/>
    <w:rsid w:val="002A535A"/>
    <w:rsid w:val="002A762B"/>
    <w:rsid w:val="002B005C"/>
    <w:rsid w:val="002C1DF8"/>
    <w:rsid w:val="002C2925"/>
    <w:rsid w:val="002D3C13"/>
    <w:rsid w:val="002D5B16"/>
    <w:rsid w:val="002D6A9B"/>
    <w:rsid w:val="002E08CD"/>
    <w:rsid w:val="002E5276"/>
    <w:rsid w:val="002E6C52"/>
    <w:rsid w:val="002F3BFA"/>
    <w:rsid w:val="002F45AA"/>
    <w:rsid w:val="002F4698"/>
    <w:rsid w:val="00311270"/>
    <w:rsid w:val="0031587D"/>
    <w:rsid w:val="003176FC"/>
    <w:rsid w:val="003209BE"/>
    <w:rsid w:val="003313E4"/>
    <w:rsid w:val="00331ADF"/>
    <w:rsid w:val="00340F18"/>
    <w:rsid w:val="003427DA"/>
    <w:rsid w:val="00345541"/>
    <w:rsid w:val="00352E51"/>
    <w:rsid w:val="0035432F"/>
    <w:rsid w:val="00357051"/>
    <w:rsid w:val="00365032"/>
    <w:rsid w:val="00367461"/>
    <w:rsid w:val="00374340"/>
    <w:rsid w:val="00376A30"/>
    <w:rsid w:val="00382790"/>
    <w:rsid w:val="00384716"/>
    <w:rsid w:val="00390739"/>
    <w:rsid w:val="00392691"/>
    <w:rsid w:val="003A023F"/>
    <w:rsid w:val="003A5F40"/>
    <w:rsid w:val="003B53BD"/>
    <w:rsid w:val="003B5B2E"/>
    <w:rsid w:val="003C27B3"/>
    <w:rsid w:val="003D09FD"/>
    <w:rsid w:val="003D354F"/>
    <w:rsid w:val="003D41D0"/>
    <w:rsid w:val="003D7D88"/>
    <w:rsid w:val="003E0D4C"/>
    <w:rsid w:val="003E2BE1"/>
    <w:rsid w:val="003E4145"/>
    <w:rsid w:val="003E4FB8"/>
    <w:rsid w:val="003E5F94"/>
    <w:rsid w:val="003F06DF"/>
    <w:rsid w:val="003F199F"/>
    <w:rsid w:val="003F4785"/>
    <w:rsid w:val="003F5A0E"/>
    <w:rsid w:val="003F76A5"/>
    <w:rsid w:val="003F7F9B"/>
    <w:rsid w:val="00403247"/>
    <w:rsid w:val="00403D29"/>
    <w:rsid w:val="0040799D"/>
    <w:rsid w:val="00415A9C"/>
    <w:rsid w:val="00426015"/>
    <w:rsid w:val="0043070C"/>
    <w:rsid w:val="004330DE"/>
    <w:rsid w:val="00434FA7"/>
    <w:rsid w:val="00442E81"/>
    <w:rsid w:val="00443304"/>
    <w:rsid w:val="0044625F"/>
    <w:rsid w:val="00446B10"/>
    <w:rsid w:val="00453603"/>
    <w:rsid w:val="004565B8"/>
    <w:rsid w:val="004661E3"/>
    <w:rsid w:val="0047081B"/>
    <w:rsid w:val="004738F0"/>
    <w:rsid w:val="00474987"/>
    <w:rsid w:val="00486056"/>
    <w:rsid w:val="0048664E"/>
    <w:rsid w:val="00491814"/>
    <w:rsid w:val="00494F96"/>
    <w:rsid w:val="00497CB1"/>
    <w:rsid w:val="004A613E"/>
    <w:rsid w:val="004B1CF7"/>
    <w:rsid w:val="004B2EE1"/>
    <w:rsid w:val="004B30E6"/>
    <w:rsid w:val="004B6E18"/>
    <w:rsid w:val="004C5DEF"/>
    <w:rsid w:val="004C6A45"/>
    <w:rsid w:val="004C74BF"/>
    <w:rsid w:val="004D32E9"/>
    <w:rsid w:val="004D5939"/>
    <w:rsid w:val="004D5B10"/>
    <w:rsid w:val="004E0D84"/>
    <w:rsid w:val="004E3619"/>
    <w:rsid w:val="004E4D55"/>
    <w:rsid w:val="004F08D9"/>
    <w:rsid w:val="004F4322"/>
    <w:rsid w:val="004F622B"/>
    <w:rsid w:val="004F7297"/>
    <w:rsid w:val="00504FEC"/>
    <w:rsid w:val="00514D79"/>
    <w:rsid w:val="0051704B"/>
    <w:rsid w:val="00522B24"/>
    <w:rsid w:val="00524794"/>
    <w:rsid w:val="005306CB"/>
    <w:rsid w:val="00546CD9"/>
    <w:rsid w:val="005539CE"/>
    <w:rsid w:val="005566FC"/>
    <w:rsid w:val="0055688B"/>
    <w:rsid w:val="00560ED4"/>
    <w:rsid w:val="005644C7"/>
    <w:rsid w:val="00567D95"/>
    <w:rsid w:val="005705CB"/>
    <w:rsid w:val="00570C3E"/>
    <w:rsid w:val="005722F8"/>
    <w:rsid w:val="005725C7"/>
    <w:rsid w:val="00581B64"/>
    <w:rsid w:val="00585268"/>
    <w:rsid w:val="005B6FA0"/>
    <w:rsid w:val="005C0928"/>
    <w:rsid w:val="005C17BF"/>
    <w:rsid w:val="005C18CA"/>
    <w:rsid w:val="005C4940"/>
    <w:rsid w:val="005C7E0D"/>
    <w:rsid w:val="005D0A9E"/>
    <w:rsid w:val="005D20C9"/>
    <w:rsid w:val="005D62C6"/>
    <w:rsid w:val="005E0349"/>
    <w:rsid w:val="005E6AB5"/>
    <w:rsid w:val="005F17DC"/>
    <w:rsid w:val="00605473"/>
    <w:rsid w:val="006102C0"/>
    <w:rsid w:val="0061274E"/>
    <w:rsid w:val="006138F4"/>
    <w:rsid w:val="006164AB"/>
    <w:rsid w:val="00625BF1"/>
    <w:rsid w:val="00633599"/>
    <w:rsid w:val="00633A13"/>
    <w:rsid w:val="00633FA6"/>
    <w:rsid w:val="00634D50"/>
    <w:rsid w:val="00635FD4"/>
    <w:rsid w:val="00642191"/>
    <w:rsid w:val="00643332"/>
    <w:rsid w:val="00645A4E"/>
    <w:rsid w:val="006467DA"/>
    <w:rsid w:val="006476AD"/>
    <w:rsid w:val="0065009F"/>
    <w:rsid w:val="00650E13"/>
    <w:rsid w:val="00651EB4"/>
    <w:rsid w:val="0065546B"/>
    <w:rsid w:val="00656B07"/>
    <w:rsid w:val="00661C97"/>
    <w:rsid w:val="00663613"/>
    <w:rsid w:val="0066727A"/>
    <w:rsid w:val="00672705"/>
    <w:rsid w:val="00672C77"/>
    <w:rsid w:val="00673F29"/>
    <w:rsid w:val="00674101"/>
    <w:rsid w:val="0067481B"/>
    <w:rsid w:val="00675177"/>
    <w:rsid w:val="0068151B"/>
    <w:rsid w:val="0068151C"/>
    <w:rsid w:val="00684E88"/>
    <w:rsid w:val="0069028D"/>
    <w:rsid w:val="00693358"/>
    <w:rsid w:val="00693CFC"/>
    <w:rsid w:val="00694497"/>
    <w:rsid w:val="0069687D"/>
    <w:rsid w:val="006A3022"/>
    <w:rsid w:val="006B0A16"/>
    <w:rsid w:val="006B0A93"/>
    <w:rsid w:val="006B1E21"/>
    <w:rsid w:val="006B3460"/>
    <w:rsid w:val="006B4E50"/>
    <w:rsid w:val="006B599B"/>
    <w:rsid w:val="006D73DB"/>
    <w:rsid w:val="006E0A41"/>
    <w:rsid w:val="006E0F8E"/>
    <w:rsid w:val="006E1570"/>
    <w:rsid w:val="006E50BB"/>
    <w:rsid w:val="006F25FE"/>
    <w:rsid w:val="006F4667"/>
    <w:rsid w:val="006F5D81"/>
    <w:rsid w:val="006F7110"/>
    <w:rsid w:val="00702FE3"/>
    <w:rsid w:val="007049D6"/>
    <w:rsid w:val="00705D8E"/>
    <w:rsid w:val="007072A1"/>
    <w:rsid w:val="007152B1"/>
    <w:rsid w:val="00717F75"/>
    <w:rsid w:val="00724AA9"/>
    <w:rsid w:val="00730B4C"/>
    <w:rsid w:val="007314DC"/>
    <w:rsid w:val="00735522"/>
    <w:rsid w:val="00735FF8"/>
    <w:rsid w:val="00741B93"/>
    <w:rsid w:val="0074426B"/>
    <w:rsid w:val="00744A2C"/>
    <w:rsid w:val="007478AE"/>
    <w:rsid w:val="00754AE9"/>
    <w:rsid w:val="0076325A"/>
    <w:rsid w:val="00763312"/>
    <w:rsid w:val="00767C07"/>
    <w:rsid w:val="0077680E"/>
    <w:rsid w:val="00776B44"/>
    <w:rsid w:val="00777DAA"/>
    <w:rsid w:val="0078319E"/>
    <w:rsid w:val="00784251"/>
    <w:rsid w:val="0079450C"/>
    <w:rsid w:val="00794D8A"/>
    <w:rsid w:val="00795963"/>
    <w:rsid w:val="007A063D"/>
    <w:rsid w:val="007A46B7"/>
    <w:rsid w:val="007A4921"/>
    <w:rsid w:val="007B2597"/>
    <w:rsid w:val="007B3BC3"/>
    <w:rsid w:val="007B4B4D"/>
    <w:rsid w:val="007B6C4D"/>
    <w:rsid w:val="007C26E8"/>
    <w:rsid w:val="007D0C5F"/>
    <w:rsid w:val="007D1B4E"/>
    <w:rsid w:val="007D2036"/>
    <w:rsid w:val="007D27A5"/>
    <w:rsid w:val="007E0FD0"/>
    <w:rsid w:val="007E1C4E"/>
    <w:rsid w:val="007E2796"/>
    <w:rsid w:val="007E3CB8"/>
    <w:rsid w:val="007E5547"/>
    <w:rsid w:val="007E68AC"/>
    <w:rsid w:val="007E761D"/>
    <w:rsid w:val="007F13EF"/>
    <w:rsid w:val="00800373"/>
    <w:rsid w:val="00807A2D"/>
    <w:rsid w:val="00812E41"/>
    <w:rsid w:val="00813125"/>
    <w:rsid w:val="00815347"/>
    <w:rsid w:val="00817284"/>
    <w:rsid w:val="008209FD"/>
    <w:rsid w:val="00824E47"/>
    <w:rsid w:val="00832223"/>
    <w:rsid w:val="008355CD"/>
    <w:rsid w:val="008361B2"/>
    <w:rsid w:val="0084324A"/>
    <w:rsid w:val="00847BA6"/>
    <w:rsid w:val="00852EE6"/>
    <w:rsid w:val="00853CF6"/>
    <w:rsid w:val="008654AF"/>
    <w:rsid w:val="008726CB"/>
    <w:rsid w:val="00885EA7"/>
    <w:rsid w:val="008874C1"/>
    <w:rsid w:val="008A1A2D"/>
    <w:rsid w:val="008A360C"/>
    <w:rsid w:val="008A7BFA"/>
    <w:rsid w:val="008B02F1"/>
    <w:rsid w:val="008B2BE4"/>
    <w:rsid w:val="008B33FC"/>
    <w:rsid w:val="008B522C"/>
    <w:rsid w:val="008C003C"/>
    <w:rsid w:val="008C1442"/>
    <w:rsid w:val="008C2C2D"/>
    <w:rsid w:val="008D0623"/>
    <w:rsid w:val="008D6952"/>
    <w:rsid w:val="008F5D0F"/>
    <w:rsid w:val="009028B3"/>
    <w:rsid w:val="009033E7"/>
    <w:rsid w:val="009076A6"/>
    <w:rsid w:val="00910128"/>
    <w:rsid w:val="00913027"/>
    <w:rsid w:val="00916F28"/>
    <w:rsid w:val="00926715"/>
    <w:rsid w:val="00936BE0"/>
    <w:rsid w:val="009422FE"/>
    <w:rsid w:val="0094519A"/>
    <w:rsid w:val="00951174"/>
    <w:rsid w:val="00970390"/>
    <w:rsid w:val="00971AEF"/>
    <w:rsid w:val="009742D2"/>
    <w:rsid w:val="00975DE1"/>
    <w:rsid w:val="009838E7"/>
    <w:rsid w:val="00984C7A"/>
    <w:rsid w:val="0098739D"/>
    <w:rsid w:val="009875BA"/>
    <w:rsid w:val="00990C95"/>
    <w:rsid w:val="0099101B"/>
    <w:rsid w:val="00992793"/>
    <w:rsid w:val="00995B09"/>
    <w:rsid w:val="009A21EC"/>
    <w:rsid w:val="009A5CB7"/>
    <w:rsid w:val="009B4736"/>
    <w:rsid w:val="009C05BB"/>
    <w:rsid w:val="009C3229"/>
    <w:rsid w:val="009C6992"/>
    <w:rsid w:val="009D1BB3"/>
    <w:rsid w:val="009D2190"/>
    <w:rsid w:val="009D2AE4"/>
    <w:rsid w:val="009D4848"/>
    <w:rsid w:val="009D54FD"/>
    <w:rsid w:val="009E067F"/>
    <w:rsid w:val="009E1D40"/>
    <w:rsid w:val="009E4AF2"/>
    <w:rsid w:val="009E7736"/>
    <w:rsid w:val="00A00C6E"/>
    <w:rsid w:val="00A11BB3"/>
    <w:rsid w:val="00A11DE0"/>
    <w:rsid w:val="00A12C1F"/>
    <w:rsid w:val="00A137C1"/>
    <w:rsid w:val="00A15EFA"/>
    <w:rsid w:val="00A219AE"/>
    <w:rsid w:val="00A403D0"/>
    <w:rsid w:val="00A46F61"/>
    <w:rsid w:val="00A649AA"/>
    <w:rsid w:val="00A71CEA"/>
    <w:rsid w:val="00A76B3B"/>
    <w:rsid w:val="00A83CC7"/>
    <w:rsid w:val="00A905BB"/>
    <w:rsid w:val="00A94B9A"/>
    <w:rsid w:val="00A95DCA"/>
    <w:rsid w:val="00A9781C"/>
    <w:rsid w:val="00AA68E9"/>
    <w:rsid w:val="00AB315E"/>
    <w:rsid w:val="00AB3CEB"/>
    <w:rsid w:val="00AC4500"/>
    <w:rsid w:val="00AC6590"/>
    <w:rsid w:val="00AD264C"/>
    <w:rsid w:val="00AD767C"/>
    <w:rsid w:val="00AF0D46"/>
    <w:rsid w:val="00AF32D7"/>
    <w:rsid w:val="00AF3FA0"/>
    <w:rsid w:val="00AF539B"/>
    <w:rsid w:val="00AF7121"/>
    <w:rsid w:val="00B05826"/>
    <w:rsid w:val="00B0709C"/>
    <w:rsid w:val="00B1523F"/>
    <w:rsid w:val="00B231E1"/>
    <w:rsid w:val="00B2507A"/>
    <w:rsid w:val="00B33977"/>
    <w:rsid w:val="00B35F3E"/>
    <w:rsid w:val="00B46D2F"/>
    <w:rsid w:val="00B57055"/>
    <w:rsid w:val="00B60C54"/>
    <w:rsid w:val="00B616EE"/>
    <w:rsid w:val="00B62A1A"/>
    <w:rsid w:val="00B705D6"/>
    <w:rsid w:val="00B76F6A"/>
    <w:rsid w:val="00B81C6A"/>
    <w:rsid w:val="00B85CEB"/>
    <w:rsid w:val="00B87B3C"/>
    <w:rsid w:val="00B94B22"/>
    <w:rsid w:val="00B94FFB"/>
    <w:rsid w:val="00BA4603"/>
    <w:rsid w:val="00BA7C50"/>
    <w:rsid w:val="00BB575E"/>
    <w:rsid w:val="00BB62C6"/>
    <w:rsid w:val="00BC1BF5"/>
    <w:rsid w:val="00BC53C2"/>
    <w:rsid w:val="00BC75CB"/>
    <w:rsid w:val="00BD0653"/>
    <w:rsid w:val="00BD1126"/>
    <w:rsid w:val="00BD430D"/>
    <w:rsid w:val="00BD6946"/>
    <w:rsid w:val="00BD7C20"/>
    <w:rsid w:val="00BE3044"/>
    <w:rsid w:val="00BE48D2"/>
    <w:rsid w:val="00BF07A1"/>
    <w:rsid w:val="00BF098A"/>
    <w:rsid w:val="00BF1482"/>
    <w:rsid w:val="00BF2BDD"/>
    <w:rsid w:val="00BF3217"/>
    <w:rsid w:val="00BF38AA"/>
    <w:rsid w:val="00BF562D"/>
    <w:rsid w:val="00BF6B78"/>
    <w:rsid w:val="00C02274"/>
    <w:rsid w:val="00C13F27"/>
    <w:rsid w:val="00C1636E"/>
    <w:rsid w:val="00C23E33"/>
    <w:rsid w:val="00C2496B"/>
    <w:rsid w:val="00C27A96"/>
    <w:rsid w:val="00C369EB"/>
    <w:rsid w:val="00C3725F"/>
    <w:rsid w:val="00C40EA6"/>
    <w:rsid w:val="00C44D74"/>
    <w:rsid w:val="00C454BE"/>
    <w:rsid w:val="00C5467C"/>
    <w:rsid w:val="00C66903"/>
    <w:rsid w:val="00C67EAB"/>
    <w:rsid w:val="00C70FF2"/>
    <w:rsid w:val="00C740F9"/>
    <w:rsid w:val="00C751EA"/>
    <w:rsid w:val="00C77164"/>
    <w:rsid w:val="00C80661"/>
    <w:rsid w:val="00C85F80"/>
    <w:rsid w:val="00C9615B"/>
    <w:rsid w:val="00C9774C"/>
    <w:rsid w:val="00CA0073"/>
    <w:rsid w:val="00CA1595"/>
    <w:rsid w:val="00CA32D8"/>
    <w:rsid w:val="00CA7484"/>
    <w:rsid w:val="00CB160E"/>
    <w:rsid w:val="00CB4820"/>
    <w:rsid w:val="00CB7057"/>
    <w:rsid w:val="00CB7D2E"/>
    <w:rsid w:val="00CC14F3"/>
    <w:rsid w:val="00CC7081"/>
    <w:rsid w:val="00CD7A70"/>
    <w:rsid w:val="00CE0675"/>
    <w:rsid w:val="00CE38A0"/>
    <w:rsid w:val="00CE4699"/>
    <w:rsid w:val="00CE5CA0"/>
    <w:rsid w:val="00CE7085"/>
    <w:rsid w:val="00CF3379"/>
    <w:rsid w:val="00CF3B92"/>
    <w:rsid w:val="00CF3CFA"/>
    <w:rsid w:val="00D024DE"/>
    <w:rsid w:val="00D048B7"/>
    <w:rsid w:val="00D07B18"/>
    <w:rsid w:val="00D102D2"/>
    <w:rsid w:val="00D139B5"/>
    <w:rsid w:val="00D27D0C"/>
    <w:rsid w:val="00D32A40"/>
    <w:rsid w:val="00D3348C"/>
    <w:rsid w:val="00D41A53"/>
    <w:rsid w:val="00D424A5"/>
    <w:rsid w:val="00D4286F"/>
    <w:rsid w:val="00D47B64"/>
    <w:rsid w:val="00D51788"/>
    <w:rsid w:val="00D51EF6"/>
    <w:rsid w:val="00D55B72"/>
    <w:rsid w:val="00D57961"/>
    <w:rsid w:val="00D635D5"/>
    <w:rsid w:val="00D6363C"/>
    <w:rsid w:val="00D66666"/>
    <w:rsid w:val="00D71784"/>
    <w:rsid w:val="00D71892"/>
    <w:rsid w:val="00D759E7"/>
    <w:rsid w:val="00D81782"/>
    <w:rsid w:val="00D818AC"/>
    <w:rsid w:val="00D8287E"/>
    <w:rsid w:val="00D91868"/>
    <w:rsid w:val="00DA3709"/>
    <w:rsid w:val="00DB3E5F"/>
    <w:rsid w:val="00DC5622"/>
    <w:rsid w:val="00DD0AC1"/>
    <w:rsid w:val="00DD20F0"/>
    <w:rsid w:val="00DD3F26"/>
    <w:rsid w:val="00DD68AA"/>
    <w:rsid w:val="00DF0ECB"/>
    <w:rsid w:val="00DF59F9"/>
    <w:rsid w:val="00E002A5"/>
    <w:rsid w:val="00E05AB5"/>
    <w:rsid w:val="00E06F43"/>
    <w:rsid w:val="00E07295"/>
    <w:rsid w:val="00E1052A"/>
    <w:rsid w:val="00E138AC"/>
    <w:rsid w:val="00E15593"/>
    <w:rsid w:val="00E225B4"/>
    <w:rsid w:val="00E2516F"/>
    <w:rsid w:val="00E26B8A"/>
    <w:rsid w:val="00E30771"/>
    <w:rsid w:val="00E30DD0"/>
    <w:rsid w:val="00E4256B"/>
    <w:rsid w:val="00E44963"/>
    <w:rsid w:val="00E50B7D"/>
    <w:rsid w:val="00E545F1"/>
    <w:rsid w:val="00E62F56"/>
    <w:rsid w:val="00E63163"/>
    <w:rsid w:val="00E64705"/>
    <w:rsid w:val="00E65ABE"/>
    <w:rsid w:val="00E67A72"/>
    <w:rsid w:val="00E70328"/>
    <w:rsid w:val="00E76B68"/>
    <w:rsid w:val="00E7748F"/>
    <w:rsid w:val="00E77DDF"/>
    <w:rsid w:val="00E808CF"/>
    <w:rsid w:val="00E82230"/>
    <w:rsid w:val="00E830B8"/>
    <w:rsid w:val="00E9386A"/>
    <w:rsid w:val="00E93F12"/>
    <w:rsid w:val="00E976C4"/>
    <w:rsid w:val="00EA59F6"/>
    <w:rsid w:val="00EC597E"/>
    <w:rsid w:val="00ED4E96"/>
    <w:rsid w:val="00EE101E"/>
    <w:rsid w:val="00EE53A7"/>
    <w:rsid w:val="00EE68BA"/>
    <w:rsid w:val="00EF0979"/>
    <w:rsid w:val="00F01388"/>
    <w:rsid w:val="00F130F1"/>
    <w:rsid w:val="00F165B3"/>
    <w:rsid w:val="00F17709"/>
    <w:rsid w:val="00F22592"/>
    <w:rsid w:val="00F248BC"/>
    <w:rsid w:val="00F24C37"/>
    <w:rsid w:val="00F300BF"/>
    <w:rsid w:val="00F32DEA"/>
    <w:rsid w:val="00F34F4A"/>
    <w:rsid w:val="00F41703"/>
    <w:rsid w:val="00F427B6"/>
    <w:rsid w:val="00F45C39"/>
    <w:rsid w:val="00F51336"/>
    <w:rsid w:val="00F53059"/>
    <w:rsid w:val="00F55AAA"/>
    <w:rsid w:val="00F62FE3"/>
    <w:rsid w:val="00F707A9"/>
    <w:rsid w:val="00F70E4A"/>
    <w:rsid w:val="00F82531"/>
    <w:rsid w:val="00F82B82"/>
    <w:rsid w:val="00F844BE"/>
    <w:rsid w:val="00F90D5C"/>
    <w:rsid w:val="00F91750"/>
    <w:rsid w:val="00F92F43"/>
    <w:rsid w:val="00F9668B"/>
    <w:rsid w:val="00F97ED8"/>
    <w:rsid w:val="00FA699B"/>
    <w:rsid w:val="00FA7889"/>
    <w:rsid w:val="00FA7C0F"/>
    <w:rsid w:val="00FB12DA"/>
    <w:rsid w:val="00FB3A50"/>
    <w:rsid w:val="00FC0FD1"/>
    <w:rsid w:val="00FC4A76"/>
    <w:rsid w:val="00FC5AA9"/>
    <w:rsid w:val="00FC6B29"/>
    <w:rsid w:val="00FC778F"/>
    <w:rsid w:val="00FE288B"/>
    <w:rsid w:val="00FF1148"/>
    <w:rsid w:val="00FF13C8"/>
    <w:rsid w:val="00FF1910"/>
    <w:rsid w:val="00FF236D"/>
    <w:rsid w:val="5E3DE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58A0"/>
  <w15:docId w15:val="{474F02A7-B5CD-4262-8D26-E052FCE8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43"/>
    <w:pPr>
      <w:spacing w:line="480" w:lineRule="auto"/>
    </w:pPr>
    <w:rPr>
      <w:rFonts w:ascii="Times New Roman" w:hAnsi="Times New Roman"/>
      <w:sz w:val="24"/>
      <w:szCs w:val="22"/>
    </w:rPr>
  </w:style>
  <w:style w:type="paragraph" w:styleId="Heading1">
    <w:name w:val="heading 1"/>
    <w:next w:val="Normal"/>
    <w:link w:val="Heading1Char"/>
    <w:uiPriority w:val="9"/>
    <w:qFormat/>
    <w:rsid w:val="007D27A5"/>
    <w:pPr>
      <w:keepNext/>
      <w:numPr>
        <w:numId w:val="32"/>
      </w:numPr>
      <w:spacing w:after="240" w:line="259" w:lineRule="auto"/>
      <w:jc w:val="center"/>
      <w:outlineLvl w:val="0"/>
    </w:pPr>
    <w:rPr>
      <w:rFonts w:ascii="Times New Roman" w:eastAsiaTheme="majorEastAsia" w:hAnsi="Times New Roman" w:cstheme="majorBidi"/>
      <w:b/>
      <w:caps/>
      <w:sz w:val="24"/>
      <w:szCs w:val="32"/>
    </w:rPr>
  </w:style>
  <w:style w:type="paragraph" w:styleId="Heading2">
    <w:name w:val="heading 2"/>
    <w:basedOn w:val="Heading1"/>
    <w:next w:val="Normal"/>
    <w:link w:val="Heading2Char"/>
    <w:uiPriority w:val="9"/>
    <w:unhideWhenUsed/>
    <w:qFormat/>
    <w:rsid w:val="006F25FE"/>
    <w:pPr>
      <w:numPr>
        <w:ilvl w:val="1"/>
      </w:numPr>
      <w:spacing w:before="40"/>
      <w:ind w:right="720"/>
      <w:jc w:val="left"/>
      <w:outlineLvl w:val="1"/>
    </w:pPr>
    <w:rPr>
      <w:caps w:val="0"/>
      <w:szCs w:val="26"/>
    </w:rPr>
  </w:style>
  <w:style w:type="paragraph" w:styleId="Heading3">
    <w:name w:val="heading 3"/>
    <w:basedOn w:val="Heading2"/>
    <w:next w:val="Normal"/>
    <w:link w:val="Heading3Char"/>
    <w:uiPriority w:val="9"/>
    <w:unhideWhenUsed/>
    <w:qFormat/>
    <w:rsid w:val="005306CB"/>
    <w:pPr>
      <w:numPr>
        <w:ilvl w:val="2"/>
      </w:numPr>
      <w:outlineLvl w:val="2"/>
    </w:pPr>
    <w:rPr>
      <w:szCs w:val="24"/>
    </w:rPr>
  </w:style>
  <w:style w:type="paragraph" w:styleId="Heading4">
    <w:name w:val="heading 4"/>
    <w:basedOn w:val="Heading3"/>
    <w:next w:val="Normal"/>
    <w:link w:val="Heading4Char"/>
    <w:uiPriority w:val="9"/>
    <w:unhideWhenUsed/>
    <w:qFormat/>
    <w:rsid w:val="00E50B7D"/>
    <w:pPr>
      <w:numPr>
        <w:ilvl w:val="3"/>
      </w:num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numPr>
        <w:numId w:val="27"/>
      </w:numPr>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D818AC"/>
  </w:style>
  <w:style w:type="character" w:customStyle="1" w:styleId="FootnoteChar">
    <w:name w:val="Footnote Char"/>
    <w:basedOn w:val="DefaultParagraphFont"/>
    <w:link w:val="Footnote"/>
    <w:rsid w:val="00D818AC"/>
    <w:rPr>
      <w:rFonts w:ascii="Times New Roman" w:hAnsi="Times New Roman"/>
      <w:sz w:val="24"/>
    </w:rPr>
  </w:style>
  <w:style w:type="paragraph" w:styleId="FootnoteText">
    <w:name w:val="footnote text"/>
    <w:basedOn w:val="Normal"/>
    <w:link w:val="FootnoteTextChar"/>
    <w:uiPriority w:val="99"/>
    <w:unhideWhenUsed/>
    <w:qFormat/>
    <w:rsid w:val="00694497"/>
    <w:pPr>
      <w:keepLines/>
      <w:spacing w:after="120" w:line="240" w:lineRule="auto"/>
      <w:ind w:firstLine="720"/>
    </w:pPr>
    <w:rPr>
      <w:szCs w:val="20"/>
    </w:rPr>
  </w:style>
  <w:style w:type="character" w:customStyle="1" w:styleId="FootnoteTextChar">
    <w:name w:val="Footnote Text Char"/>
    <w:basedOn w:val="DefaultParagraphFont"/>
    <w:link w:val="FootnoteText"/>
    <w:uiPriority w:val="99"/>
    <w:rsid w:val="0069449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style>
  <w:style w:type="character" w:customStyle="1" w:styleId="Heading1Char">
    <w:name w:val="Heading 1 Char"/>
    <w:basedOn w:val="DefaultParagraphFont"/>
    <w:link w:val="Heading1"/>
    <w:uiPriority w:val="9"/>
    <w:rsid w:val="007D27A5"/>
    <w:rPr>
      <w:rFonts w:ascii="Times New Roman" w:eastAsiaTheme="majorEastAsia" w:hAnsi="Times New Roman" w:cstheme="majorBidi"/>
      <w:b/>
      <w:caps/>
      <w:sz w:val="24"/>
      <w:szCs w:val="32"/>
    </w:rPr>
  </w:style>
  <w:style w:type="paragraph" w:customStyle="1" w:styleId="OpinionHeading">
    <w:name w:val="Opinion Heading"/>
    <w:basedOn w:val="Heading1"/>
    <w:next w:val="Normal"/>
    <w:rsid w:val="00B76F6A"/>
  </w:style>
  <w:style w:type="character" w:styleId="PlaceholderText">
    <w:name w:val="Placeholder Text"/>
    <w:basedOn w:val="DefaultParagraphFont"/>
    <w:uiPriority w:val="99"/>
    <w:semiHidden/>
    <w:rsid w:val="00175C1C"/>
    <w:rPr>
      <w:color w:val="808080"/>
    </w:rPr>
  </w:style>
  <w:style w:type="character" w:customStyle="1" w:styleId="Heading2Char">
    <w:name w:val="Heading 2 Char"/>
    <w:basedOn w:val="DefaultParagraphFont"/>
    <w:link w:val="Heading2"/>
    <w:uiPriority w:val="9"/>
    <w:rsid w:val="006F25F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306CB"/>
    <w:rPr>
      <w:rFonts w:ascii="Times New Roman" w:eastAsiaTheme="majorEastAsia" w:hAnsi="Times New Roman" w:cstheme="majorBidi"/>
      <w:b/>
      <w:sz w:val="24"/>
      <w:szCs w:val="24"/>
    </w:rPr>
  </w:style>
  <w:style w:type="numbering" w:customStyle="1" w:styleId="Headings">
    <w:name w:val="Headings"/>
    <w:uiPriority w:val="99"/>
    <w:rsid w:val="00A00C6E"/>
    <w:pPr>
      <w:numPr>
        <w:numId w:val="25"/>
      </w:numPr>
    </w:pPr>
  </w:style>
  <w:style w:type="character" w:styleId="CommentReference">
    <w:name w:val="annotation reference"/>
    <w:basedOn w:val="DefaultParagraphFont"/>
    <w:uiPriority w:val="99"/>
    <w:semiHidden/>
    <w:unhideWhenUsed/>
    <w:rsid w:val="005306CB"/>
    <w:rPr>
      <w:sz w:val="16"/>
      <w:szCs w:val="16"/>
    </w:rPr>
  </w:style>
  <w:style w:type="paragraph" w:styleId="CommentText">
    <w:name w:val="annotation text"/>
    <w:basedOn w:val="Normal"/>
    <w:link w:val="CommentTextChar"/>
    <w:uiPriority w:val="99"/>
    <w:unhideWhenUsed/>
    <w:rsid w:val="005306CB"/>
    <w:pPr>
      <w:spacing w:line="240" w:lineRule="auto"/>
    </w:pPr>
    <w:rPr>
      <w:sz w:val="20"/>
      <w:szCs w:val="20"/>
    </w:rPr>
  </w:style>
  <w:style w:type="character" w:customStyle="1" w:styleId="CommentTextChar">
    <w:name w:val="Comment Text Char"/>
    <w:basedOn w:val="DefaultParagraphFont"/>
    <w:link w:val="CommentText"/>
    <w:uiPriority w:val="99"/>
    <w:rsid w:val="005306C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306CB"/>
    <w:rPr>
      <w:b/>
      <w:bCs/>
    </w:rPr>
  </w:style>
  <w:style w:type="character" w:customStyle="1" w:styleId="CommentSubjectChar">
    <w:name w:val="Comment Subject Char"/>
    <w:basedOn w:val="CommentTextChar"/>
    <w:link w:val="CommentSubject"/>
    <w:uiPriority w:val="99"/>
    <w:semiHidden/>
    <w:rsid w:val="005306CB"/>
    <w:rPr>
      <w:rFonts w:ascii="Times New Roman" w:hAnsi="Times New Roman"/>
      <w:b/>
      <w:bCs/>
    </w:rPr>
  </w:style>
  <w:style w:type="character" w:styleId="SubtleReference">
    <w:name w:val="Subtle Reference"/>
    <w:basedOn w:val="DefaultParagraphFont"/>
    <w:uiPriority w:val="31"/>
    <w:rsid w:val="00390739"/>
    <w:rPr>
      <w:smallCaps/>
      <w:color w:val="5A5A5A" w:themeColor="text1" w:themeTint="A5"/>
    </w:rPr>
  </w:style>
  <w:style w:type="paragraph" w:styleId="Quote">
    <w:name w:val="Quote"/>
    <w:aliases w:val="Block Quote"/>
    <w:basedOn w:val="Normal"/>
    <w:next w:val="Normal"/>
    <w:link w:val="QuoteChar"/>
    <w:uiPriority w:val="29"/>
    <w:qFormat/>
    <w:rsid w:val="0098739D"/>
    <w:pPr>
      <w:autoSpaceDE w:val="0"/>
      <w:autoSpaceDN w:val="0"/>
      <w:adjustRightInd w:val="0"/>
      <w:spacing w:after="240" w:line="240" w:lineRule="auto"/>
      <w:ind w:left="720" w:right="720"/>
    </w:pPr>
    <w:rPr>
      <w:color w:val="000000"/>
      <w:szCs w:val="24"/>
    </w:rPr>
  </w:style>
  <w:style w:type="character" w:customStyle="1" w:styleId="QuoteChar">
    <w:name w:val="Quote Char"/>
    <w:aliases w:val="Block Quote Char"/>
    <w:basedOn w:val="DefaultParagraphFont"/>
    <w:link w:val="Quote"/>
    <w:uiPriority w:val="29"/>
    <w:rsid w:val="0098739D"/>
    <w:rPr>
      <w:rFonts w:ascii="Times New Roman" w:hAnsi="Times New Roman"/>
      <w:color w:val="000000"/>
      <w:sz w:val="24"/>
      <w:szCs w:val="24"/>
    </w:rPr>
  </w:style>
  <w:style w:type="character" w:styleId="UnresolvedMention">
    <w:name w:val="Unresolved Mention"/>
    <w:basedOn w:val="DefaultParagraphFont"/>
    <w:uiPriority w:val="99"/>
    <w:unhideWhenUsed/>
    <w:rsid w:val="002933A5"/>
    <w:rPr>
      <w:color w:val="605E5C"/>
      <w:shd w:val="clear" w:color="auto" w:fill="E1DFDD"/>
    </w:rPr>
  </w:style>
  <w:style w:type="character" w:styleId="Mention">
    <w:name w:val="Mention"/>
    <w:basedOn w:val="DefaultParagraphFont"/>
    <w:uiPriority w:val="99"/>
    <w:unhideWhenUsed/>
    <w:rsid w:val="002933A5"/>
    <w:rPr>
      <w:color w:val="2B579A"/>
      <w:shd w:val="clear" w:color="auto" w:fill="E1DFDD"/>
    </w:rPr>
  </w:style>
  <w:style w:type="character" w:styleId="Hyperlink">
    <w:name w:val="Hyperlink"/>
    <w:basedOn w:val="DefaultParagraphFont"/>
    <w:uiPriority w:val="99"/>
    <w:unhideWhenUsed/>
    <w:rsid w:val="005D62C6"/>
    <w:rPr>
      <w:color w:val="0000FF" w:themeColor="hyperlink"/>
      <w:u w:val="single"/>
    </w:rPr>
  </w:style>
  <w:style w:type="character" w:styleId="FollowedHyperlink">
    <w:name w:val="FollowedHyperlink"/>
    <w:basedOn w:val="DefaultParagraphFont"/>
    <w:uiPriority w:val="99"/>
    <w:semiHidden/>
    <w:unhideWhenUsed/>
    <w:rsid w:val="005D62C6"/>
    <w:rPr>
      <w:color w:val="800080" w:themeColor="followedHyperlink"/>
      <w:u w:val="single"/>
    </w:rPr>
  </w:style>
  <w:style w:type="character" w:customStyle="1" w:styleId="Heading4Char">
    <w:name w:val="Heading 4 Char"/>
    <w:basedOn w:val="DefaultParagraphFont"/>
    <w:link w:val="Heading4"/>
    <w:uiPriority w:val="9"/>
    <w:rsid w:val="00E50B7D"/>
    <w:rPr>
      <w:rFonts w:ascii="Times New Roman" w:eastAsiaTheme="majorEastAsia" w:hAnsi="Times New Roman" w:cstheme="majorBidi"/>
      <w:b/>
      <w:iCs/>
      <w:sz w:val="24"/>
      <w:szCs w:val="24"/>
    </w:rPr>
  </w:style>
  <w:style w:type="paragraph" w:customStyle="1" w:styleId="RvwHeading">
    <w:name w:val="Rvw Heading"/>
    <w:basedOn w:val="Normal"/>
    <w:link w:val="RvwHeadingChar"/>
    <w:qFormat/>
    <w:rsid w:val="006F25FE"/>
    <w:pPr>
      <w:spacing w:line="240" w:lineRule="auto"/>
      <w:jc w:val="center"/>
    </w:pPr>
    <w:rPr>
      <w:b/>
    </w:rPr>
  </w:style>
  <w:style w:type="character" w:customStyle="1" w:styleId="RvwHeadingChar">
    <w:name w:val="Rvw Heading Char"/>
    <w:basedOn w:val="DefaultParagraphFont"/>
    <w:link w:val="RvwHeading"/>
    <w:rsid w:val="006F25FE"/>
    <w:rPr>
      <w:rFonts w:ascii="Times New Roman" w:hAnsi="Times New Roman"/>
      <w:b/>
      <w:sz w:val="24"/>
      <w:szCs w:val="22"/>
    </w:rPr>
  </w:style>
  <w:style w:type="paragraph" w:styleId="Revision">
    <w:name w:val="Revision"/>
    <w:hidden/>
    <w:uiPriority w:val="99"/>
    <w:semiHidden/>
    <w:rsid w:val="006F25FE"/>
    <w:rPr>
      <w:rFonts w:ascii="Times New Roman" w:hAnsi="Times New Roman"/>
      <w:sz w:val="24"/>
      <w:szCs w:val="22"/>
    </w:rPr>
  </w:style>
  <w:style w:type="paragraph" w:customStyle="1" w:styleId="pf0">
    <w:name w:val="pf0"/>
    <w:basedOn w:val="Normal"/>
    <w:rsid w:val="006F25FE"/>
    <w:pPr>
      <w:spacing w:before="100" w:beforeAutospacing="1" w:after="100" w:afterAutospacing="1" w:line="240" w:lineRule="auto"/>
    </w:pPr>
    <w:rPr>
      <w:rFonts w:eastAsia="Times New Roman"/>
      <w:szCs w:val="24"/>
    </w:rPr>
  </w:style>
  <w:style w:type="character" w:customStyle="1" w:styleId="cf01">
    <w:name w:val="cf01"/>
    <w:basedOn w:val="DefaultParagraphFont"/>
    <w:rsid w:val="006F25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j\OneDrive%20-%20The%20State%20Bar%20of%20California\TEMPLATES%20TO%20CREATE\Opinions\Test%20Opin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65A4A77C1A4A7FADAF0592D790FD5B"/>
        <w:category>
          <w:name w:val="General"/>
          <w:gallery w:val="placeholder"/>
        </w:category>
        <w:types>
          <w:type w:val="bbPlcHdr"/>
        </w:types>
        <w:behaviors>
          <w:behavior w:val="content"/>
        </w:behaviors>
        <w:guid w:val="{458A3182-C8D6-47FE-9B53-68F6FE4C82D7}"/>
      </w:docPartPr>
      <w:docPartBody>
        <w:p w:rsidR="00E64705" w:rsidRDefault="00E64705">
          <w:pPr>
            <w:pStyle w:val="6165A4A77C1A4A7FADAF0592D790FD5B"/>
          </w:pPr>
          <w:r w:rsidRPr="00A46F61">
            <w:rPr>
              <w:rStyle w:val="PlaceholderText"/>
              <w:color w:val="FF0000"/>
            </w:rPr>
            <w:t>Choose an item.</w:t>
          </w:r>
        </w:p>
      </w:docPartBody>
    </w:docPart>
    <w:docPart>
      <w:docPartPr>
        <w:name w:val="3C6B7C5B5D7642F1A88F4392E848C3B6"/>
        <w:category>
          <w:name w:val="General"/>
          <w:gallery w:val="placeholder"/>
        </w:category>
        <w:types>
          <w:type w:val="bbPlcHdr"/>
        </w:types>
        <w:behaviors>
          <w:behavior w:val="content"/>
        </w:behaviors>
        <w:guid w:val="{09F7DF14-28B2-443C-B9DB-1EE6E8F38BEC}"/>
      </w:docPartPr>
      <w:docPartBody>
        <w:p w:rsidR="00E64705" w:rsidRDefault="00E64705">
          <w:pPr>
            <w:pStyle w:val="3C6B7C5B5D7642F1A88F4392E848C3B6"/>
          </w:pPr>
          <w:r w:rsidRPr="000469FB">
            <w:rPr>
              <w:rStyle w:val="PlaceholderText"/>
              <w:caps/>
              <w:color w:val="FF0000"/>
            </w:rPr>
            <w:t>Click or tap here to enter text.</w:t>
          </w:r>
        </w:p>
      </w:docPartBody>
    </w:docPart>
    <w:docPart>
      <w:docPartPr>
        <w:name w:val="3C9B70AB1B4B4ADA969781806F257C24"/>
        <w:category>
          <w:name w:val="General"/>
          <w:gallery w:val="placeholder"/>
        </w:category>
        <w:types>
          <w:type w:val="bbPlcHdr"/>
        </w:types>
        <w:behaviors>
          <w:behavior w:val="content"/>
        </w:behaviors>
        <w:guid w:val="{C96CDDBD-CB91-464C-82BF-4F3982C126D2}"/>
      </w:docPartPr>
      <w:docPartBody>
        <w:p w:rsidR="00B219E3" w:rsidRDefault="00B219E3" w:rsidP="00B219E3">
          <w:pPr>
            <w:pStyle w:val="3C9B70AB1B4B4ADA969781806F257C24"/>
          </w:pPr>
          <w:r w:rsidRPr="000469FB">
            <w:rPr>
              <w:rStyle w:val="PlaceholderText"/>
              <w:color w:val="FF0000"/>
            </w:rPr>
            <w:t>Choose an item.</w:t>
          </w:r>
        </w:p>
      </w:docPartBody>
    </w:docPart>
    <w:docPart>
      <w:docPartPr>
        <w:name w:val="A44D4CC10C024281A9BD332593F8C6CF"/>
        <w:category>
          <w:name w:val="General"/>
          <w:gallery w:val="placeholder"/>
        </w:category>
        <w:types>
          <w:type w:val="bbPlcHdr"/>
        </w:types>
        <w:behaviors>
          <w:behavior w:val="content"/>
        </w:behaviors>
        <w:guid w:val="{91C9D25F-2AC9-45D7-A692-AFC9BD9152B2}"/>
      </w:docPartPr>
      <w:docPartBody>
        <w:p w:rsidR="00B219E3" w:rsidRDefault="00B219E3" w:rsidP="00B219E3">
          <w:pPr>
            <w:pStyle w:val="A44D4CC10C024281A9BD332593F8C6CF"/>
          </w:pPr>
          <w:r w:rsidRPr="000469FB">
            <w:rPr>
              <w:rStyle w:val="PlaceholderText"/>
              <w:color w:val="FF0000"/>
            </w:rPr>
            <w:t>Choose an item.</w:t>
          </w:r>
        </w:p>
      </w:docPartBody>
    </w:docPart>
    <w:docPart>
      <w:docPartPr>
        <w:name w:val="2AF7A5EDDC9E4DB1B1F13960A998A8CF"/>
        <w:category>
          <w:name w:val="General"/>
          <w:gallery w:val="placeholder"/>
        </w:category>
        <w:types>
          <w:type w:val="bbPlcHdr"/>
        </w:types>
        <w:behaviors>
          <w:behavior w:val="content"/>
        </w:behaviors>
        <w:guid w:val="{04B0A8C4-FF98-4C22-8C45-C66F40F9DD2D}"/>
      </w:docPartPr>
      <w:docPartBody>
        <w:p w:rsidR="00B219E3" w:rsidRDefault="00B219E3" w:rsidP="00B219E3">
          <w:pPr>
            <w:pStyle w:val="2AF7A5EDDC9E4DB1B1F13960A998A8CF"/>
          </w:pPr>
          <w:r w:rsidRPr="000469FB">
            <w:rPr>
              <w:rStyle w:val="PlaceholderText"/>
              <w:color w:val="FF0000"/>
            </w:rPr>
            <w:t>Choose an item.</w:t>
          </w:r>
        </w:p>
      </w:docPartBody>
    </w:docPart>
    <w:docPart>
      <w:docPartPr>
        <w:name w:val="563C9EB089FE4C328E80B3A861A03EF7"/>
        <w:category>
          <w:name w:val="General"/>
          <w:gallery w:val="placeholder"/>
        </w:category>
        <w:types>
          <w:type w:val="bbPlcHdr"/>
        </w:types>
        <w:behaviors>
          <w:behavior w:val="content"/>
        </w:behaviors>
        <w:guid w:val="{D570C70C-FEA9-4311-87D9-54D4CFCF2939}"/>
      </w:docPartPr>
      <w:docPartBody>
        <w:p w:rsidR="00EF6608" w:rsidRDefault="00EF6608" w:rsidP="00EF6608">
          <w:pPr>
            <w:pStyle w:val="563C9EB089FE4C328E80B3A861A03EF7"/>
          </w:pPr>
          <w:r w:rsidRPr="004503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05"/>
    <w:rsid w:val="00045AEA"/>
    <w:rsid w:val="00113332"/>
    <w:rsid w:val="00243FB9"/>
    <w:rsid w:val="002457D5"/>
    <w:rsid w:val="006B27DA"/>
    <w:rsid w:val="00A72500"/>
    <w:rsid w:val="00B219E3"/>
    <w:rsid w:val="00CF352F"/>
    <w:rsid w:val="00D445CA"/>
    <w:rsid w:val="00E50D84"/>
    <w:rsid w:val="00E64705"/>
    <w:rsid w:val="00EF3E53"/>
    <w:rsid w:val="00EF6608"/>
    <w:rsid w:val="00EF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608"/>
    <w:rPr>
      <w:color w:val="808080"/>
    </w:rPr>
  </w:style>
  <w:style w:type="paragraph" w:customStyle="1" w:styleId="6165A4A77C1A4A7FADAF0592D790FD5B">
    <w:name w:val="6165A4A77C1A4A7FADAF0592D790FD5B"/>
  </w:style>
  <w:style w:type="paragraph" w:customStyle="1" w:styleId="3C6B7C5B5D7642F1A88F4392E848C3B6">
    <w:name w:val="3C6B7C5B5D7642F1A88F4392E848C3B6"/>
  </w:style>
  <w:style w:type="paragraph" w:customStyle="1" w:styleId="3C9B70AB1B4B4ADA969781806F257C24">
    <w:name w:val="3C9B70AB1B4B4ADA969781806F257C24"/>
    <w:rsid w:val="00B219E3"/>
    <w:rPr>
      <w:kern w:val="2"/>
      <w14:ligatures w14:val="standardContextual"/>
    </w:rPr>
  </w:style>
  <w:style w:type="paragraph" w:customStyle="1" w:styleId="A44D4CC10C024281A9BD332593F8C6CF">
    <w:name w:val="A44D4CC10C024281A9BD332593F8C6CF"/>
    <w:rsid w:val="00B219E3"/>
    <w:rPr>
      <w:kern w:val="2"/>
      <w14:ligatures w14:val="standardContextual"/>
    </w:rPr>
  </w:style>
  <w:style w:type="paragraph" w:customStyle="1" w:styleId="2AF7A5EDDC9E4DB1B1F13960A998A8CF">
    <w:name w:val="2AF7A5EDDC9E4DB1B1F13960A998A8CF"/>
    <w:rsid w:val="00B219E3"/>
    <w:rPr>
      <w:kern w:val="2"/>
      <w14:ligatures w14:val="standardContextual"/>
    </w:rPr>
  </w:style>
  <w:style w:type="paragraph" w:customStyle="1" w:styleId="563C9EB089FE4C328E80B3A861A03EF7">
    <w:name w:val="563C9EB089FE4C328E80B3A861A03EF7"/>
    <w:rsid w:val="00EF660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eabb53-171c-4bae-a79a-62b581464b1e">
      <UserInfo>
        <DisplayName>Shelton, Summer</DisplayName>
        <AccountId>208</AccountId>
        <AccountType/>
      </UserInfo>
      <UserInfo>
        <DisplayName>Dave, Jennifer</DisplayName>
        <AccountId>167</AccountId>
        <AccountType/>
      </UserInfo>
    </SharedWithUsers>
    <TaxCatchAll xmlns="60eabb53-171c-4bae-a79a-62b581464b1e" xsi:nil="true"/>
    <lcf76f155ced4ddcb4097134ff3c332f xmlns="02cbc013-97e4-4f5c-a2f0-83401ed4ba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F61355DF5E604DB90D760E86DB0AF7" ma:contentTypeVersion="14" ma:contentTypeDescription="Create a new document." ma:contentTypeScope="" ma:versionID="bc823e58c7dc76ccb3c97455ccacb7e7">
  <xsd:schema xmlns:xsd="http://www.w3.org/2001/XMLSchema" xmlns:xs="http://www.w3.org/2001/XMLSchema" xmlns:p="http://schemas.microsoft.com/office/2006/metadata/properties" xmlns:ns2="02cbc013-97e4-4f5c-a2f0-83401ed4ba17" xmlns:ns3="60eabb53-171c-4bae-a79a-62b581464b1e" targetNamespace="http://schemas.microsoft.com/office/2006/metadata/properties" ma:root="true" ma:fieldsID="8362f43de14362a2f2b30ccf303b74a3" ns2:_="" ns3:_="">
    <xsd:import namespace="02cbc013-97e4-4f5c-a2f0-83401ed4ba17"/>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bc013-97e4-4f5c-a2f0-83401ed4b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D79EB-A6C1-4372-ACD1-AB12D7A959DB}">
  <ds:schemaRefs>
    <ds:schemaRef ds:uri="http://schemas.microsoft.com/office/2006/metadata/properties"/>
    <ds:schemaRef ds:uri="http://schemas.microsoft.com/office/infopath/2007/PartnerControls"/>
    <ds:schemaRef ds:uri="60eabb53-171c-4bae-a79a-62b581464b1e"/>
    <ds:schemaRef ds:uri="108d26e9-7de2-4ff0-bbaf-4287b2020141"/>
  </ds:schemaRefs>
</ds:datastoreItem>
</file>

<file path=customXml/itemProps2.xml><?xml version="1.0" encoding="utf-8"?>
<ds:datastoreItem xmlns:ds="http://schemas.openxmlformats.org/officeDocument/2006/customXml" ds:itemID="{F83B7D0C-3608-4A03-A136-AEB5C01FF3A6}"/>
</file>

<file path=customXml/itemProps3.xml><?xml version="1.0" encoding="utf-8"?>
<ds:datastoreItem xmlns:ds="http://schemas.openxmlformats.org/officeDocument/2006/customXml" ds:itemID="{2167B850-9204-4EE8-BD9F-3F3C846F3DE9}">
  <ds:schemaRefs>
    <ds:schemaRef ds:uri="http://schemas.microsoft.com/sharepoint/v3/contenttype/forms"/>
  </ds:schemaRefs>
</ds:datastoreItem>
</file>

<file path=customXml/itemProps4.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Opinion Template</Template>
  <TotalTime>2</TotalTime>
  <Pages>19</Pages>
  <Words>4114</Words>
  <Characters>23452</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Shelton, Summer</dc:creator>
  <cp:lastModifiedBy>Zavala, Mel</cp:lastModifiedBy>
  <cp:revision>2</cp:revision>
  <cp:lastPrinted>2023-02-21T19:09:00Z</cp:lastPrinted>
  <dcterms:created xsi:type="dcterms:W3CDTF">2024-08-14T20:53:00Z</dcterms:created>
  <dcterms:modified xsi:type="dcterms:W3CDTF">2024-08-14T20:53:00Z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0x010100C2E84EA822292E45BCBD295DBC62DA95</vt:lpwstr>
  </property>
  <property fmtid="{D5CDD505-2E9C-101B-9397-08002B2CF9AE}" pid="3" name="MediaServiceImageTags">
    <vt:lpwstr/>
  </property>
</Properties>
</file>